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29B51" w14:textId="77777777" w:rsidR="005C7B9B" w:rsidRPr="008510E7" w:rsidRDefault="005C7B9B" w:rsidP="000447B9">
      <w:pPr>
        <w:jc w:val="both"/>
        <w:rPr>
          <w:rFonts w:ascii="Avenir Next" w:hAnsi="Avenir Next" w:cstheme="majorHAnsi"/>
          <w:sz w:val="16"/>
          <w:szCs w:val="16"/>
        </w:rPr>
      </w:pPr>
    </w:p>
    <w:p w14:paraId="2CB1454A" w14:textId="77777777" w:rsidR="005C7B9B" w:rsidRPr="008510E7" w:rsidRDefault="005C7B9B" w:rsidP="000447B9">
      <w:pPr>
        <w:jc w:val="center"/>
        <w:rPr>
          <w:rFonts w:ascii="Avenir Next" w:hAnsi="Avenir Next" w:cstheme="majorHAnsi"/>
          <w:b/>
          <w:bCs/>
          <w:lang w:val="es-ES"/>
        </w:rPr>
      </w:pPr>
      <w:r w:rsidRPr="008510E7">
        <w:rPr>
          <w:rFonts w:ascii="Avenir Next" w:hAnsi="Avenir Next" w:cstheme="majorHAnsi"/>
          <w:b/>
          <w:bCs/>
          <w:lang w:val="es-ES"/>
        </w:rPr>
        <w:t>Zenith apuesta por un contraste deslumbrante y atrevido con el DEFY 21 y el DEFY Classic Black &amp; White, dos creaciones diseñadas exclusivamente para las boutiques Zenith y su boutique online.</w:t>
      </w:r>
    </w:p>
    <w:p w14:paraId="27BBE10E" w14:textId="14ED4BCD" w:rsidR="005C7B9B" w:rsidRPr="008510E7" w:rsidRDefault="005C7B9B" w:rsidP="000447B9">
      <w:pPr>
        <w:jc w:val="both"/>
        <w:rPr>
          <w:rFonts w:ascii="Avenir Next" w:hAnsi="Avenir Next" w:cstheme="majorHAnsi"/>
          <w:sz w:val="16"/>
          <w:szCs w:val="16"/>
          <w:lang w:val="es-ES"/>
        </w:rPr>
      </w:pPr>
    </w:p>
    <w:p w14:paraId="6E81AA02" w14:textId="77777777" w:rsidR="000447B9" w:rsidRPr="008510E7" w:rsidRDefault="000447B9" w:rsidP="000447B9">
      <w:pPr>
        <w:jc w:val="both"/>
        <w:rPr>
          <w:rFonts w:ascii="Avenir Next" w:hAnsi="Avenir Next" w:cstheme="majorHAnsi"/>
          <w:sz w:val="16"/>
          <w:szCs w:val="16"/>
          <w:lang w:val="es-ES"/>
        </w:rPr>
      </w:pPr>
    </w:p>
    <w:p w14:paraId="7C8ABFE6" w14:textId="77777777"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Black &amp; White es más que una simple selección de tonos. Es un lenguaje del diseño en sí mismo, que evoca los imponentes paisajes urbanos a través de un arte rompedor y unos movimientos modernos. Si bien es cierto que el DEFY 21 y el DEFY Classic han explorado numerosas reinterpretaciones que incorporaban materiales exóticos y colores vibrantes, las ediciones Black &amp; White exclusivas de las boutiques Zenith apuestan por un enfoque drásticamente diferente plasmado con una paleta acromática.</w:t>
      </w:r>
    </w:p>
    <w:p w14:paraId="71F0D9EE" w14:textId="77777777" w:rsidR="005C7B9B" w:rsidRPr="008510E7" w:rsidRDefault="005C7B9B" w:rsidP="000447B9">
      <w:pPr>
        <w:jc w:val="both"/>
        <w:rPr>
          <w:rFonts w:ascii="Avenir Next" w:hAnsi="Avenir Next" w:cstheme="majorHAnsi"/>
          <w:sz w:val="18"/>
          <w:szCs w:val="18"/>
          <w:lang w:val="es-ES"/>
        </w:rPr>
      </w:pPr>
    </w:p>
    <w:p w14:paraId="7C6A7F07" w14:textId="77777777"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Estas reinterpretaciones de los dos modelos más emblemáticos de la colección DEFY, en línea con las últimas tendencias, realzan su singular y atrevida arquitectura mediante una tentadora propuesta que presenta un fuerte contraste de blanco y negro, para ofrecer al aficionado a la relojería actual y al estilo una opción decididamente contemporánea a la vez que versátil.</w:t>
      </w:r>
    </w:p>
    <w:p w14:paraId="1C981DEA" w14:textId="77777777" w:rsidR="005C7B9B" w:rsidRPr="008510E7" w:rsidRDefault="005C7B9B" w:rsidP="000447B9">
      <w:pPr>
        <w:jc w:val="both"/>
        <w:rPr>
          <w:rFonts w:ascii="Avenir Next" w:hAnsi="Avenir Next" w:cstheme="majorHAnsi"/>
          <w:sz w:val="18"/>
          <w:szCs w:val="18"/>
          <w:lang w:val="es-ES"/>
        </w:rPr>
      </w:pPr>
    </w:p>
    <w:p w14:paraId="76343BF6" w14:textId="77777777"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Ambos están equipados con una caja de cerámica negra mate microgranallada, de 44 mm en el caso del DEFY 21 y de 41 mm en el del DEFY Classic, cuyo acabado opaco realza sus elegantes líneas facetadas, al absorber la luz en lugar de reflejarla. Las dos emblemáticas creaciones DEFY cuentan con unos biseles de cerámica blanca que crean este acusado contraste y dan paso a las esferas tridimensionales de ambos modelos.</w:t>
      </w:r>
    </w:p>
    <w:p w14:paraId="4CED3916" w14:textId="77777777" w:rsidR="005C7B9B" w:rsidRPr="008510E7" w:rsidRDefault="005C7B9B" w:rsidP="000447B9">
      <w:pPr>
        <w:jc w:val="both"/>
        <w:rPr>
          <w:rFonts w:ascii="Avenir Next" w:hAnsi="Avenir Next" w:cstheme="majorHAnsi"/>
          <w:sz w:val="18"/>
          <w:szCs w:val="18"/>
          <w:lang w:val="es-ES"/>
        </w:rPr>
      </w:pPr>
    </w:p>
    <w:p w14:paraId="43BCBFA0" w14:textId="77777777"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El DEFY 21 cuenta con una escala de centésimas de segundo y un contador de cronógrafo de 30 minutos blancos que parecen flotar sobre el movimiento en tonos negros. El DEFY Classic presenta un tratamiento similar en su esfera abierta ultramoderna con un motivo de estrella central en esta edición exclusiva de las boutiques, que incluye un anillo blanco alrededor y una esfera abierta simétrica en tonos negros. Como toque final, una correa de caucho negra y blanca con "efecto cordura" culmina el modelo. Además, para ofrecer un estilo más sobrio, ambas ediciones DEFY Black &amp; White incluyen una correa adicional de caucho negro texturizado.</w:t>
      </w:r>
    </w:p>
    <w:p w14:paraId="3B102428" w14:textId="3774BB12" w:rsidR="005C7B9B" w:rsidRPr="008510E7" w:rsidRDefault="005C7B9B" w:rsidP="000447B9">
      <w:pPr>
        <w:jc w:val="both"/>
        <w:rPr>
          <w:rFonts w:ascii="Avenir Next" w:hAnsi="Avenir Next" w:cstheme="majorHAnsi"/>
          <w:sz w:val="18"/>
          <w:szCs w:val="18"/>
          <w:lang w:val="es-ES"/>
        </w:rPr>
      </w:pPr>
    </w:p>
    <w:p w14:paraId="4E31A3AE" w14:textId="7A3BA0F4"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Los relojes DEFY 21 Black &amp; White y DEFY Classic Black &amp; White están disponibles exclusivamente en las boutiques Zenith y la boutique online a partir del </w:t>
      </w:r>
      <w:r w:rsidR="00BA32FE">
        <w:rPr>
          <w:rFonts w:ascii="Avenir Next" w:hAnsi="Avenir Next" w:cstheme="majorHAnsi"/>
          <w:sz w:val="18"/>
          <w:szCs w:val="18"/>
          <w:lang w:val="es-ES"/>
        </w:rPr>
        <w:t>31</w:t>
      </w:r>
      <w:bookmarkStart w:id="0" w:name="_GoBack"/>
      <w:bookmarkEnd w:id="0"/>
      <w:r w:rsidRPr="008510E7">
        <w:rPr>
          <w:rFonts w:ascii="Avenir Next" w:hAnsi="Avenir Next" w:cstheme="majorHAnsi"/>
          <w:sz w:val="18"/>
          <w:szCs w:val="18"/>
          <w:lang w:val="es-ES"/>
        </w:rPr>
        <w:t xml:space="preserve"> de agosto de 2020.</w:t>
      </w:r>
    </w:p>
    <w:p w14:paraId="61612579" w14:textId="77777777" w:rsidR="005C7B9B" w:rsidRPr="008510E7" w:rsidRDefault="005C7B9B" w:rsidP="000447B9">
      <w:pPr>
        <w:jc w:val="both"/>
        <w:rPr>
          <w:rFonts w:ascii="Avenir Next" w:hAnsi="Avenir Next" w:cstheme="majorHAnsi"/>
          <w:sz w:val="18"/>
          <w:szCs w:val="18"/>
          <w:lang w:val="es-ES"/>
        </w:rPr>
      </w:pPr>
    </w:p>
    <w:p w14:paraId="66E775EF" w14:textId="77777777" w:rsidR="005C7B9B" w:rsidRPr="008510E7" w:rsidRDefault="005C7B9B" w:rsidP="000447B9">
      <w:pPr>
        <w:jc w:val="both"/>
        <w:rPr>
          <w:rFonts w:ascii="Avenir Next" w:hAnsi="Avenir Next" w:cstheme="majorHAnsi"/>
          <w:sz w:val="18"/>
          <w:szCs w:val="18"/>
          <w:lang w:val="es-ES"/>
        </w:rPr>
      </w:pPr>
    </w:p>
    <w:p w14:paraId="002EA42C" w14:textId="77777777" w:rsidR="005C7B9B" w:rsidRPr="008510E7" w:rsidRDefault="005C7B9B" w:rsidP="000447B9">
      <w:pPr>
        <w:jc w:val="both"/>
        <w:rPr>
          <w:rFonts w:ascii="Avenir Next" w:hAnsi="Avenir Next" w:cstheme="majorHAnsi"/>
          <w:sz w:val="18"/>
          <w:szCs w:val="18"/>
          <w:lang w:val="es-ES"/>
        </w:rPr>
      </w:pPr>
    </w:p>
    <w:p w14:paraId="0FE02456" w14:textId="77777777" w:rsidR="005C7B9B" w:rsidRPr="008510E7" w:rsidRDefault="005C7B9B" w:rsidP="000447B9">
      <w:pPr>
        <w:jc w:val="both"/>
        <w:rPr>
          <w:rFonts w:ascii="Avenir Next" w:eastAsia="Times New Roman" w:hAnsi="Avenir Next" w:cstheme="majorHAnsi"/>
          <w:b/>
          <w:sz w:val="18"/>
          <w:szCs w:val="18"/>
        </w:rPr>
      </w:pPr>
      <w:r w:rsidRPr="008510E7">
        <w:rPr>
          <w:rFonts w:ascii="Avenir Next" w:hAnsi="Avenir Next" w:cstheme="majorHAnsi"/>
          <w:b/>
          <w:sz w:val="18"/>
          <w:szCs w:val="18"/>
        </w:rPr>
        <w:t>ZENITH: TIME TO REACH YOUR STAR.</w:t>
      </w:r>
    </w:p>
    <w:p w14:paraId="24DEBD9A" w14:textId="77777777" w:rsidR="005C7B9B" w:rsidRPr="008510E7" w:rsidRDefault="005C7B9B" w:rsidP="000447B9">
      <w:pPr>
        <w:spacing w:line="276" w:lineRule="auto"/>
        <w:jc w:val="both"/>
        <w:rPr>
          <w:rFonts w:ascii="Avenir Next" w:eastAsia="Times New Roman" w:hAnsi="Avenir Next" w:cstheme="majorHAnsi"/>
          <w:b/>
          <w:sz w:val="18"/>
          <w:szCs w:val="18"/>
        </w:rPr>
      </w:pPr>
    </w:p>
    <w:p w14:paraId="18AD444B" w14:textId="77777777" w:rsidR="005C7B9B" w:rsidRPr="008510E7" w:rsidRDefault="005C7B9B" w:rsidP="000447B9">
      <w:pPr>
        <w:jc w:val="both"/>
        <w:rPr>
          <w:rFonts w:ascii="Avenir Next" w:eastAsia="Times New Roman" w:hAnsi="Avenir Next" w:cstheme="majorHAnsi"/>
          <w:sz w:val="18"/>
          <w:szCs w:val="18"/>
          <w:lang w:val="es-ES"/>
        </w:rPr>
      </w:pPr>
      <w:r w:rsidRPr="008510E7">
        <w:rPr>
          <w:rFonts w:ascii="Avenir Next" w:hAnsi="Avenir Next" w:cstheme="majorHAnsi"/>
          <w:sz w:val="18"/>
          <w:szCs w:val="18"/>
          <w:lang w:val="es-ES"/>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w:t>
      </w:r>
    </w:p>
    <w:p w14:paraId="4A21B7E7" w14:textId="77777777" w:rsidR="005C7B9B" w:rsidRPr="008510E7" w:rsidRDefault="005C7B9B" w:rsidP="000447B9">
      <w:pPr>
        <w:jc w:val="both"/>
        <w:rPr>
          <w:rFonts w:ascii="Avenir Next" w:eastAsia="Times New Roman" w:hAnsi="Avenir Next" w:cstheme="majorHAnsi"/>
          <w:sz w:val="18"/>
          <w:szCs w:val="18"/>
          <w:lang w:val="es-ES"/>
        </w:rPr>
      </w:pPr>
    </w:p>
    <w:p w14:paraId="2CF30258" w14:textId="7FEFB896" w:rsidR="000447B9" w:rsidRPr="008510E7" w:rsidRDefault="005C7B9B" w:rsidP="008510E7">
      <w:pPr>
        <w:jc w:val="both"/>
        <w:rPr>
          <w:rFonts w:ascii="Avenir Next" w:eastAsia="Times New Roman" w:hAnsi="Avenir Next" w:cstheme="majorHAnsi"/>
          <w:sz w:val="18"/>
          <w:szCs w:val="18"/>
          <w:lang w:val="es-ES"/>
        </w:rPr>
      </w:pPr>
      <w:r w:rsidRPr="008510E7">
        <w:rPr>
          <w:rFonts w:ascii="Avenir Next" w:hAnsi="Avenir Next" w:cstheme="majorHAnsi"/>
          <w:sz w:val="18"/>
          <w:szCs w:val="18"/>
          <w:lang w:val="es-ES"/>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Time to reach your star.</w:t>
      </w:r>
      <w:r w:rsidR="000447B9" w:rsidRPr="008510E7">
        <w:rPr>
          <w:rFonts w:ascii="Avenir Next" w:hAnsi="Avenir Next" w:cstheme="majorHAnsi"/>
          <w:b/>
          <w:szCs w:val="20"/>
          <w:lang w:val="es-ES"/>
        </w:rPr>
        <w:br w:type="page"/>
      </w:r>
    </w:p>
    <w:p w14:paraId="5DB4B3E5" w14:textId="7DE3F320" w:rsidR="005C7B9B" w:rsidRPr="008510E7" w:rsidRDefault="005C7B9B" w:rsidP="000447B9">
      <w:pPr>
        <w:jc w:val="both"/>
        <w:rPr>
          <w:rFonts w:ascii="Avenir Next" w:hAnsi="Avenir Next" w:cstheme="majorHAnsi"/>
          <w:b/>
          <w:szCs w:val="20"/>
          <w:lang w:val="es-ES"/>
        </w:rPr>
      </w:pPr>
      <w:r w:rsidRPr="008510E7">
        <w:rPr>
          <w:rFonts w:ascii="Avenir Next" w:hAnsi="Avenir Next" w:cstheme="majorHAnsi"/>
          <w:b/>
          <w:szCs w:val="20"/>
          <w:lang w:val="es-ES"/>
        </w:rPr>
        <w:lastRenderedPageBreak/>
        <w:t xml:space="preserve">DEFY 21 BLACK &amp; WHITE </w:t>
      </w:r>
    </w:p>
    <w:p w14:paraId="05D914B8" w14:textId="77777777" w:rsidR="005C7B9B" w:rsidRPr="008510E7" w:rsidRDefault="005C7B9B" w:rsidP="000447B9">
      <w:pPr>
        <w:jc w:val="both"/>
        <w:rPr>
          <w:rFonts w:ascii="Avenir Next" w:hAnsi="Avenir Next" w:cstheme="majorHAnsi"/>
          <w:sz w:val="18"/>
          <w:szCs w:val="18"/>
          <w:lang w:val="es-ES"/>
        </w:rPr>
      </w:pPr>
      <w:r w:rsidRPr="008510E7">
        <w:rPr>
          <w:rFonts w:ascii="Avenir Next" w:hAnsi="Avenir Next" w:cstheme="majorHAnsi"/>
          <w:sz w:val="18"/>
          <w:szCs w:val="18"/>
          <w:lang w:val="es-ES"/>
        </w:rPr>
        <w:t>Referencia: 49.9007.9.004/11.R923</w:t>
      </w:r>
    </w:p>
    <w:p w14:paraId="73FC776F" w14:textId="77777777" w:rsidR="005C7B9B" w:rsidRPr="008510E7" w:rsidRDefault="005C7B9B" w:rsidP="000447B9">
      <w:pPr>
        <w:jc w:val="both"/>
        <w:rPr>
          <w:rFonts w:ascii="Avenir Next" w:hAnsi="Avenir Next" w:cstheme="majorHAnsi"/>
          <w:sz w:val="10"/>
          <w:lang w:val="es-ES"/>
        </w:rPr>
      </w:pPr>
    </w:p>
    <w:p w14:paraId="00A8CBDA" w14:textId="621BC986" w:rsidR="005C7B9B" w:rsidRPr="008510E7" w:rsidRDefault="005C7B9B" w:rsidP="000447B9">
      <w:pPr>
        <w:autoSpaceDE w:val="0"/>
        <w:autoSpaceDN w:val="0"/>
        <w:adjustRightInd w:val="0"/>
        <w:spacing w:line="276" w:lineRule="auto"/>
        <w:rPr>
          <w:rFonts w:ascii="Avenir Next" w:hAnsi="Avenir Next" w:cstheme="majorHAnsi"/>
          <w:sz w:val="18"/>
          <w:szCs w:val="18"/>
          <w:lang w:val="es-ES"/>
        </w:rPr>
      </w:pPr>
      <w:bookmarkStart w:id="1" w:name="_Hlk29295538"/>
      <w:r w:rsidRPr="008510E7">
        <w:rPr>
          <w:rFonts w:ascii="Avenir Next" w:hAnsi="Avenir Next" w:cstheme="majorHAnsi"/>
          <w:noProof/>
        </w:rPr>
        <w:drawing>
          <wp:anchor distT="0" distB="0" distL="114300" distR="114300" simplePos="0" relativeHeight="251657216" behindDoc="1" locked="0" layoutInCell="1" allowOverlap="1" wp14:anchorId="15DD49DE" wp14:editId="656780DE">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8510E7">
        <w:rPr>
          <w:rFonts w:ascii="Avenir Next" w:hAnsi="Avenir Next" w:cstheme="majorHAnsi"/>
          <w:b/>
          <w:sz w:val="18"/>
          <w:szCs w:val="18"/>
          <w:lang w:val="es-ES"/>
        </w:rPr>
        <w:t>Puntos clave</w:t>
      </w:r>
      <w:r w:rsidRPr="008510E7">
        <w:rPr>
          <w:rFonts w:ascii="Avenir Next" w:hAnsi="Avenir Next" w:cstheme="majorHAnsi"/>
          <w:lang w:val="es-ES"/>
        </w:rPr>
        <w:t>:</w:t>
      </w:r>
      <w:r w:rsidRPr="008510E7">
        <w:rPr>
          <w:rFonts w:ascii="Avenir Next" w:hAnsi="Avenir Next" w:cstheme="majorHAnsi"/>
          <w:sz w:val="18"/>
          <w:szCs w:val="18"/>
          <w:lang w:val="es-ES"/>
        </w:rPr>
        <w:t xml:space="preserve"> movimiento de cronógrafo con indicación de las centésimas de segundo. Frecuencia característica y exclusiva de una rotación por segundo. 1 escape para el reloj (36 000 alt/h - 5 Hz); 1 escape para el cronógrafo (360 000 alt/h - 50 Hz). Cronómetro certificado por TIME LAB. </w:t>
      </w:r>
    </w:p>
    <w:p w14:paraId="4B66FEE7"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Movimiento</w:t>
      </w:r>
      <w:r w:rsidRPr="008510E7">
        <w:rPr>
          <w:rFonts w:ascii="Avenir Next" w:hAnsi="Avenir Next" w:cstheme="majorHAnsi"/>
          <w:sz w:val="18"/>
          <w:szCs w:val="18"/>
          <w:lang w:val="es-ES"/>
        </w:rPr>
        <w:t xml:space="preserve">: El Primero 9004 Automático </w:t>
      </w:r>
    </w:p>
    <w:p w14:paraId="466CED89"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Frecuencia</w:t>
      </w:r>
      <w:r w:rsidRPr="008510E7">
        <w:rPr>
          <w:rFonts w:ascii="Avenir Next" w:hAnsi="Avenir Next" w:cstheme="majorHAnsi"/>
          <w:sz w:val="18"/>
          <w:szCs w:val="18"/>
          <w:lang w:val="es-ES"/>
        </w:rPr>
        <w:t>: 36 000 alt/h (5 Hz)</w:t>
      </w:r>
      <w:r w:rsidRPr="008510E7">
        <w:rPr>
          <w:rFonts w:ascii="Avenir Next" w:hAnsi="Avenir Next" w:cstheme="majorHAnsi"/>
          <w:lang w:val="es-ES"/>
        </w:rPr>
        <w:t xml:space="preserve"> </w:t>
      </w:r>
    </w:p>
    <w:p w14:paraId="75F28FC7"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Reserva de marcha</w:t>
      </w:r>
      <w:r w:rsidRPr="008510E7">
        <w:rPr>
          <w:rFonts w:ascii="Avenir Next" w:hAnsi="Avenir Next" w:cstheme="majorHAnsi"/>
          <w:sz w:val="18"/>
          <w:szCs w:val="18"/>
          <w:lang w:val="es-ES"/>
        </w:rPr>
        <w:t>: 50 horas aproximadamente</w:t>
      </w:r>
    </w:p>
    <w:p w14:paraId="345850E3"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Funciones</w:t>
      </w:r>
      <w:r w:rsidRPr="008510E7">
        <w:rPr>
          <w:rFonts w:ascii="Avenir Next" w:hAnsi="Avenir Next" w:cstheme="majorHAnsi"/>
          <w:sz w:val="18"/>
          <w:szCs w:val="18"/>
          <w:lang w:val="es-ES"/>
        </w:rPr>
        <w:t>: función cronógrafo con indicación de las centésimas de segundo. Indicación de reserva de marcha del cronógrafo a las 12 horas. Indicación central de horas y minutos. Segundero pequeño a las 9 horas, aguja central del cronógrafo, contador de 30 minutos a las 3 horas, contador de 60 segundos a las 6 horas</w:t>
      </w:r>
    </w:p>
    <w:p w14:paraId="6CB3756B"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Precio</w:t>
      </w:r>
      <w:r w:rsidRPr="008510E7">
        <w:rPr>
          <w:rFonts w:ascii="Avenir Next" w:hAnsi="Avenir Next" w:cstheme="majorHAnsi"/>
          <w:sz w:val="18"/>
          <w:szCs w:val="18"/>
          <w:lang w:val="es-ES"/>
        </w:rPr>
        <w:t>: 13 900 CHF</w:t>
      </w:r>
    </w:p>
    <w:p w14:paraId="644E1740"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Material</w:t>
      </w:r>
      <w:r w:rsidRPr="008510E7">
        <w:rPr>
          <w:rFonts w:ascii="Avenir Next" w:hAnsi="Avenir Next" w:cstheme="majorHAnsi"/>
          <w:sz w:val="18"/>
          <w:szCs w:val="18"/>
          <w:lang w:val="es-ES"/>
        </w:rPr>
        <w:t>: cerámica negra mate con bisel de cerámica blanca</w:t>
      </w:r>
    </w:p>
    <w:p w14:paraId="5DE87F3C"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lang w:val="es-ES"/>
        </w:rPr>
        <w:t>Caja: 44 mm</w:t>
      </w:r>
    </w:p>
    <w:p w14:paraId="534725A2"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Esfera</w:t>
      </w:r>
      <w:r w:rsidRPr="008510E7">
        <w:rPr>
          <w:rFonts w:ascii="Avenir Next" w:hAnsi="Avenir Next" w:cstheme="majorHAnsi"/>
          <w:sz w:val="18"/>
          <w:szCs w:val="18"/>
          <w:lang w:val="es-ES"/>
        </w:rPr>
        <w:t>: esqueletizada con contadores bicolores</w:t>
      </w:r>
    </w:p>
    <w:p w14:paraId="0242BA6E"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Estanqueidad</w:t>
      </w:r>
      <w:r w:rsidRPr="008510E7">
        <w:rPr>
          <w:rFonts w:ascii="Avenir Next" w:hAnsi="Avenir Next" w:cstheme="majorHAnsi"/>
          <w:sz w:val="18"/>
          <w:szCs w:val="18"/>
          <w:lang w:val="es-ES"/>
        </w:rPr>
        <w:t>: 10 ATM</w:t>
      </w:r>
    </w:p>
    <w:p w14:paraId="17624EA5"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Índices:</w:t>
      </w:r>
      <w:r w:rsidRPr="008510E7">
        <w:rPr>
          <w:rFonts w:ascii="Avenir Next" w:hAnsi="Avenir Next" w:cstheme="majorHAnsi"/>
          <w:sz w:val="18"/>
          <w:szCs w:val="18"/>
          <w:lang w:val="es-ES"/>
        </w:rPr>
        <w:t xml:space="preserve"> rodiados, facetados y recubiertos de Super-LumiNova® SLN C1</w:t>
      </w:r>
    </w:p>
    <w:p w14:paraId="27389697"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Agujas</w:t>
      </w:r>
      <w:r w:rsidRPr="008510E7">
        <w:rPr>
          <w:rFonts w:ascii="Avenir Next" w:hAnsi="Avenir Next" w:cstheme="majorHAnsi"/>
          <w:sz w:val="18"/>
          <w:szCs w:val="18"/>
          <w:lang w:val="es-ES"/>
        </w:rPr>
        <w:t>: rodiadas, facetadas y recubiertas de Super-LumiNova® SLN C1</w:t>
      </w:r>
    </w:p>
    <w:bookmarkEnd w:id="1"/>
    <w:p w14:paraId="32986CC9" w14:textId="77777777" w:rsidR="005C7B9B" w:rsidRPr="008510E7" w:rsidRDefault="005C7B9B" w:rsidP="000447B9">
      <w:pPr>
        <w:rPr>
          <w:rFonts w:ascii="Avenir Next" w:hAnsi="Avenir Next" w:cstheme="majorHAnsi"/>
          <w:sz w:val="18"/>
          <w:szCs w:val="18"/>
          <w:lang w:val="es-ES"/>
        </w:rPr>
      </w:pPr>
      <w:r w:rsidRPr="008510E7">
        <w:rPr>
          <w:rFonts w:ascii="Avenir Next" w:hAnsi="Avenir Next" w:cstheme="majorHAnsi"/>
          <w:b/>
          <w:sz w:val="18"/>
          <w:szCs w:val="18"/>
          <w:lang w:val="es-ES"/>
        </w:rPr>
        <w:t>Brazalete y cierre:</w:t>
      </w:r>
      <w:r w:rsidRPr="008510E7">
        <w:rPr>
          <w:rFonts w:ascii="Avenir Next" w:hAnsi="Avenir Next" w:cstheme="majorHAnsi"/>
          <w:sz w:val="18"/>
          <w:szCs w:val="18"/>
          <w:lang w:val="es-ES"/>
        </w:rPr>
        <w:t xml:space="preserve"> caucho negro con caucho blanco "efecto cordura". Doble cierre desplegable de titanio con revestimiento de DLC negro.</w:t>
      </w:r>
    </w:p>
    <w:p w14:paraId="1C9216AA" w14:textId="77777777" w:rsidR="005C7B9B" w:rsidRPr="008510E7" w:rsidRDefault="005C7B9B" w:rsidP="000447B9">
      <w:pPr>
        <w:jc w:val="both"/>
        <w:rPr>
          <w:rFonts w:ascii="Avenir Next" w:hAnsi="Avenir Next" w:cstheme="majorHAnsi"/>
          <w:sz w:val="18"/>
          <w:szCs w:val="18"/>
          <w:lang w:val="es-ES"/>
        </w:rPr>
      </w:pPr>
    </w:p>
    <w:p w14:paraId="4E85E22E" w14:textId="77777777" w:rsidR="005C7B9B" w:rsidRPr="008510E7" w:rsidRDefault="005C7B9B" w:rsidP="000447B9">
      <w:pPr>
        <w:jc w:val="both"/>
        <w:rPr>
          <w:rFonts w:ascii="Avenir Next" w:hAnsi="Avenir Next" w:cstheme="majorHAnsi"/>
          <w:b/>
          <w:szCs w:val="20"/>
          <w:lang w:val="es-ES"/>
        </w:rPr>
      </w:pPr>
    </w:p>
    <w:p w14:paraId="0140B942" w14:textId="77777777" w:rsidR="000447B9" w:rsidRPr="008510E7" w:rsidRDefault="000447B9">
      <w:pPr>
        <w:rPr>
          <w:rFonts w:ascii="Avenir Next" w:hAnsi="Avenir Next" w:cstheme="majorHAnsi"/>
          <w:b/>
          <w:szCs w:val="20"/>
          <w:lang w:val="es-ES"/>
        </w:rPr>
      </w:pPr>
      <w:r w:rsidRPr="008510E7">
        <w:rPr>
          <w:rFonts w:ascii="Avenir Next" w:hAnsi="Avenir Next" w:cstheme="majorHAnsi"/>
          <w:b/>
          <w:szCs w:val="20"/>
          <w:lang w:val="es-ES"/>
        </w:rPr>
        <w:br w:type="page"/>
      </w:r>
    </w:p>
    <w:p w14:paraId="00152163" w14:textId="01ADBD38" w:rsidR="005C7B9B" w:rsidRPr="008510E7" w:rsidRDefault="005C7B9B" w:rsidP="000447B9">
      <w:pPr>
        <w:jc w:val="both"/>
        <w:rPr>
          <w:rFonts w:ascii="Avenir Next" w:hAnsi="Avenir Next" w:cstheme="majorHAnsi"/>
          <w:b/>
          <w:szCs w:val="20"/>
          <w:lang w:val="es-ES"/>
        </w:rPr>
      </w:pPr>
      <w:r w:rsidRPr="008510E7">
        <w:rPr>
          <w:rFonts w:ascii="Avenir Next" w:hAnsi="Avenir Next" w:cstheme="majorHAnsi"/>
          <w:noProof/>
        </w:rPr>
        <w:lastRenderedPageBreak/>
        <w:drawing>
          <wp:anchor distT="0" distB="0" distL="114300" distR="114300" simplePos="0" relativeHeight="251661312" behindDoc="1" locked="0" layoutInCell="1" allowOverlap="1" wp14:anchorId="713B575C" wp14:editId="0C936647">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8510E7">
        <w:rPr>
          <w:rFonts w:ascii="Avenir Next" w:hAnsi="Avenir Next" w:cstheme="majorHAnsi"/>
          <w:noProof/>
          <w:lang w:val="es-ES"/>
        </w:rPr>
        <w:drawing>
          <wp:anchor distT="0" distB="0" distL="114300" distR="114300" simplePos="0" relativeHeight="251664384" behindDoc="1" locked="0" layoutInCell="1" allowOverlap="1" wp14:anchorId="0DC75D08" wp14:editId="3448A7F7">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8510E7">
        <w:rPr>
          <w:rFonts w:ascii="Avenir Next" w:hAnsi="Avenir Next" w:cstheme="majorHAnsi"/>
          <w:b/>
          <w:szCs w:val="20"/>
          <w:lang w:val="es-ES"/>
        </w:rPr>
        <w:t xml:space="preserve">DEFY CLASSIC BLACK &amp; WHITE </w:t>
      </w:r>
    </w:p>
    <w:p w14:paraId="50913AF1" w14:textId="77777777" w:rsidR="005C7B9B" w:rsidRPr="008510E7" w:rsidRDefault="005C7B9B" w:rsidP="000447B9">
      <w:pPr>
        <w:jc w:val="both"/>
        <w:rPr>
          <w:rFonts w:ascii="Avenir Next" w:hAnsi="Avenir Next" w:cstheme="majorHAnsi"/>
          <w:b/>
          <w:sz w:val="18"/>
          <w:szCs w:val="18"/>
          <w:lang w:val="es-ES"/>
        </w:rPr>
      </w:pPr>
      <w:r w:rsidRPr="008510E7">
        <w:rPr>
          <w:rFonts w:ascii="Avenir Next" w:hAnsi="Avenir Next" w:cstheme="majorHAnsi"/>
          <w:sz w:val="18"/>
          <w:szCs w:val="18"/>
          <w:lang w:val="es-ES"/>
        </w:rPr>
        <w:t>Referencia: 49.9005.670/11.R943</w:t>
      </w:r>
    </w:p>
    <w:p w14:paraId="6E8F098A" w14:textId="77777777" w:rsidR="005C7B9B" w:rsidRPr="008510E7" w:rsidRDefault="005C7B9B" w:rsidP="000447B9">
      <w:pPr>
        <w:jc w:val="both"/>
        <w:rPr>
          <w:rFonts w:ascii="Avenir Next" w:hAnsi="Avenir Next" w:cstheme="majorHAnsi"/>
          <w:b/>
          <w:sz w:val="18"/>
          <w:szCs w:val="18"/>
          <w:lang w:val="es-ES"/>
        </w:rPr>
      </w:pPr>
    </w:p>
    <w:p w14:paraId="32532AF6"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szCs w:val="18"/>
          <w:lang w:val="es-ES"/>
        </w:rPr>
        <w:t>Puntos clave:</w:t>
      </w:r>
      <w:r w:rsidRPr="008510E7">
        <w:rPr>
          <w:rFonts w:ascii="Avenir Next" w:hAnsi="Avenir Next" w:cstheme="majorHAnsi"/>
          <w:sz w:val="18"/>
          <w:szCs w:val="18"/>
          <w:lang w:val="es-ES"/>
        </w:rPr>
        <w:t xml:space="preserve"> </w:t>
      </w:r>
      <w:r w:rsidRPr="008510E7">
        <w:rPr>
          <w:rFonts w:ascii="Avenir Next" w:hAnsi="Avenir Next" w:cstheme="majorHAnsi"/>
          <w:sz w:val="18"/>
          <w:szCs w:val="20"/>
          <w:lang w:val="es-ES"/>
        </w:rPr>
        <w:t xml:space="preserve">caja de cerámica negra de 41 mm. Movimiento de manufactura Elite esqueletizado. Áncora y rueda de escape de silicio. </w:t>
      </w:r>
    </w:p>
    <w:p w14:paraId="1B2AD88C"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szCs w:val="18"/>
          <w:lang w:val="es-ES"/>
        </w:rPr>
        <w:t>Movimiento</w:t>
      </w:r>
      <w:r w:rsidRPr="008510E7">
        <w:rPr>
          <w:rFonts w:ascii="Avenir Next" w:hAnsi="Avenir Next" w:cstheme="majorHAnsi"/>
          <w:sz w:val="18"/>
          <w:lang w:val="es-ES"/>
        </w:rPr>
        <w:t>: Elite 670 SK Automático</w:t>
      </w:r>
      <w:r w:rsidRPr="008510E7">
        <w:rPr>
          <w:rFonts w:ascii="Avenir Next" w:hAnsi="Avenir Next" w:cstheme="majorHAnsi"/>
          <w:sz w:val="18"/>
          <w:szCs w:val="20"/>
          <w:lang w:val="es-ES"/>
        </w:rPr>
        <w:t xml:space="preserve"> </w:t>
      </w:r>
    </w:p>
    <w:p w14:paraId="15F1CFA6"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sz w:val="18"/>
          <w:szCs w:val="20"/>
          <w:lang w:val="es-ES"/>
        </w:rPr>
        <w:t>Frecuencia: 28 800 alt/h (4 Hz)</w:t>
      </w:r>
    </w:p>
    <w:p w14:paraId="3D37D97E"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sz w:val="18"/>
          <w:szCs w:val="20"/>
          <w:lang w:val="es-ES"/>
        </w:rPr>
        <w:t>Reserva de marcha: mín. 48 horas</w:t>
      </w:r>
    </w:p>
    <w:p w14:paraId="5E3C6B8D"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lang w:val="es-ES"/>
        </w:rPr>
        <w:t>Funciones</w:t>
      </w:r>
      <w:r w:rsidRPr="008510E7">
        <w:rPr>
          <w:rFonts w:ascii="Avenir Next" w:hAnsi="Avenir Next" w:cstheme="majorHAnsi"/>
          <w:sz w:val="18"/>
          <w:lang w:val="es-ES"/>
        </w:rPr>
        <w:t xml:space="preserve">: indicación </w:t>
      </w:r>
      <w:r w:rsidRPr="008510E7">
        <w:rPr>
          <w:rFonts w:ascii="Avenir Next" w:hAnsi="Avenir Next" w:cstheme="majorHAnsi"/>
          <w:sz w:val="18"/>
          <w:szCs w:val="20"/>
          <w:lang w:val="es-ES"/>
        </w:rPr>
        <w:t>central de horas y minutos. Segundero central. Indicador de la fecha a las 6 horas</w:t>
      </w:r>
    </w:p>
    <w:p w14:paraId="711DD234" w14:textId="77777777" w:rsidR="005C7B9B" w:rsidRPr="008510E7" w:rsidRDefault="005C7B9B" w:rsidP="000447B9">
      <w:pPr>
        <w:rPr>
          <w:rFonts w:ascii="Avenir Next" w:hAnsi="Avenir Next" w:cstheme="majorHAnsi"/>
          <w:bCs/>
          <w:sz w:val="18"/>
          <w:szCs w:val="20"/>
          <w:lang w:val="es-ES"/>
        </w:rPr>
      </w:pPr>
      <w:r w:rsidRPr="008510E7">
        <w:rPr>
          <w:rFonts w:ascii="Avenir Next" w:hAnsi="Avenir Next" w:cstheme="majorHAnsi"/>
          <w:b/>
          <w:sz w:val="18"/>
          <w:szCs w:val="18"/>
          <w:lang w:val="es-ES"/>
        </w:rPr>
        <w:t>Precio</w:t>
      </w:r>
      <w:r w:rsidRPr="008510E7">
        <w:rPr>
          <w:rFonts w:ascii="Avenir Next" w:hAnsi="Avenir Next" w:cstheme="majorHAnsi"/>
          <w:bCs/>
          <w:sz w:val="18"/>
          <w:szCs w:val="18"/>
          <w:lang w:val="es-ES"/>
        </w:rPr>
        <w:t>: 8400 CHF</w:t>
      </w:r>
    </w:p>
    <w:p w14:paraId="0834627D" w14:textId="77777777" w:rsidR="005C7B9B" w:rsidRPr="008510E7" w:rsidRDefault="005C7B9B" w:rsidP="000447B9">
      <w:pPr>
        <w:rPr>
          <w:rFonts w:ascii="Avenir Next" w:hAnsi="Avenir Next" w:cstheme="majorHAnsi"/>
          <w:b/>
          <w:sz w:val="18"/>
          <w:szCs w:val="20"/>
          <w:lang w:val="es-ES"/>
        </w:rPr>
      </w:pPr>
      <w:r w:rsidRPr="008510E7">
        <w:rPr>
          <w:rFonts w:ascii="Avenir Next" w:hAnsi="Avenir Next" w:cstheme="majorHAnsi"/>
          <w:b/>
          <w:sz w:val="18"/>
          <w:szCs w:val="18"/>
          <w:lang w:val="es-ES"/>
        </w:rPr>
        <w:t>Material</w:t>
      </w:r>
      <w:r w:rsidRPr="008510E7">
        <w:rPr>
          <w:rFonts w:ascii="Avenir Next" w:hAnsi="Avenir Next" w:cstheme="majorHAnsi"/>
          <w:sz w:val="18"/>
          <w:szCs w:val="18"/>
          <w:lang w:val="es-ES"/>
        </w:rPr>
        <w:t xml:space="preserve">: </w:t>
      </w:r>
      <w:r w:rsidRPr="008510E7">
        <w:rPr>
          <w:rFonts w:ascii="Avenir Next" w:hAnsi="Avenir Next" w:cstheme="majorHAnsi"/>
          <w:sz w:val="18"/>
          <w:szCs w:val="20"/>
          <w:lang w:val="es-ES"/>
        </w:rPr>
        <w:t>cerámica negra mate con bisel de cerámica blanca</w:t>
      </w:r>
    </w:p>
    <w:p w14:paraId="5D150ADE" w14:textId="77777777" w:rsidR="005C7B9B" w:rsidRPr="008510E7" w:rsidRDefault="005C7B9B" w:rsidP="000447B9">
      <w:pPr>
        <w:rPr>
          <w:rFonts w:ascii="Avenir Next" w:hAnsi="Avenir Next" w:cstheme="majorHAnsi"/>
          <w:b/>
          <w:sz w:val="18"/>
          <w:szCs w:val="20"/>
          <w:lang w:val="es-ES"/>
        </w:rPr>
      </w:pPr>
      <w:r w:rsidRPr="008510E7">
        <w:rPr>
          <w:rFonts w:ascii="Avenir Next" w:hAnsi="Avenir Next" w:cstheme="majorHAnsi"/>
          <w:b/>
          <w:sz w:val="18"/>
          <w:szCs w:val="18"/>
          <w:lang w:val="es-ES"/>
        </w:rPr>
        <w:t>Caja:</w:t>
      </w:r>
      <w:r w:rsidRPr="008510E7">
        <w:rPr>
          <w:rFonts w:ascii="Avenir Next" w:hAnsi="Avenir Next" w:cstheme="majorHAnsi"/>
          <w:b/>
          <w:sz w:val="18"/>
          <w:szCs w:val="20"/>
          <w:lang w:val="es-ES"/>
        </w:rPr>
        <w:t xml:space="preserve"> </w:t>
      </w:r>
      <w:r w:rsidRPr="008510E7">
        <w:rPr>
          <w:rFonts w:ascii="Avenir Next" w:hAnsi="Avenir Next" w:cstheme="majorHAnsi"/>
          <w:sz w:val="18"/>
          <w:szCs w:val="20"/>
          <w:lang w:val="es-ES"/>
        </w:rPr>
        <w:t>41 mm</w:t>
      </w:r>
    </w:p>
    <w:p w14:paraId="67216E3E"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szCs w:val="18"/>
          <w:lang w:val="es-ES"/>
        </w:rPr>
        <w:t>Esfera</w:t>
      </w:r>
      <w:r w:rsidRPr="008510E7">
        <w:rPr>
          <w:rFonts w:ascii="Avenir Next" w:hAnsi="Avenir Next" w:cstheme="majorHAnsi"/>
          <w:sz w:val="18"/>
          <w:szCs w:val="20"/>
          <w:lang w:val="es-ES"/>
        </w:rPr>
        <w:t xml:space="preserve">: esqueletizada negra </w:t>
      </w:r>
    </w:p>
    <w:p w14:paraId="7A70D437"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szCs w:val="18"/>
          <w:lang w:val="es-ES"/>
        </w:rPr>
        <w:t>Estanqueidad</w:t>
      </w:r>
      <w:r w:rsidRPr="008510E7">
        <w:rPr>
          <w:rFonts w:ascii="Avenir Next" w:hAnsi="Avenir Next" w:cstheme="majorHAnsi"/>
          <w:sz w:val="18"/>
          <w:szCs w:val="18"/>
          <w:lang w:val="es-ES"/>
        </w:rPr>
        <w:t xml:space="preserve">: </w:t>
      </w:r>
      <w:r w:rsidRPr="008510E7">
        <w:rPr>
          <w:rFonts w:ascii="Avenir Next" w:hAnsi="Avenir Next" w:cstheme="majorHAnsi"/>
          <w:sz w:val="18"/>
          <w:szCs w:val="20"/>
          <w:lang w:val="es-ES"/>
        </w:rPr>
        <w:t>10 ATM</w:t>
      </w:r>
    </w:p>
    <w:p w14:paraId="30FD9AB8"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bCs/>
          <w:sz w:val="18"/>
          <w:szCs w:val="20"/>
          <w:lang w:val="es-ES"/>
        </w:rPr>
        <w:t>Índices:</w:t>
      </w:r>
      <w:r w:rsidRPr="008510E7">
        <w:rPr>
          <w:rFonts w:ascii="Avenir Next" w:hAnsi="Avenir Next" w:cstheme="majorHAnsi"/>
          <w:sz w:val="18"/>
          <w:szCs w:val="20"/>
          <w:lang w:val="es-ES"/>
        </w:rPr>
        <w:t xml:space="preserve"> rodiados, facetados y recubiertos de Super-LumiNova® SLN C1</w:t>
      </w:r>
    </w:p>
    <w:p w14:paraId="114C4A23"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bCs/>
          <w:sz w:val="18"/>
          <w:szCs w:val="20"/>
          <w:lang w:val="es-ES"/>
        </w:rPr>
        <w:t>Agujas:</w:t>
      </w:r>
      <w:r w:rsidRPr="008510E7">
        <w:rPr>
          <w:rFonts w:ascii="Avenir Next" w:hAnsi="Avenir Next" w:cstheme="majorHAnsi"/>
          <w:sz w:val="18"/>
          <w:szCs w:val="20"/>
          <w:lang w:val="es-ES"/>
        </w:rPr>
        <w:t xml:space="preserve"> rodiadas, facetadas y recubiertas de Super-LumiNova® SLN C1</w:t>
      </w:r>
    </w:p>
    <w:p w14:paraId="3883082C" w14:textId="77777777" w:rsidR="005C7B9B" w:rsidRPr="008510E7" w:rsidRDefault="005C7B9B" w:rsidP="000447B9">
      <w:pPr>
        <w:rPr>
          <w:rFonts w:ascii="Avenir Next" w:hAnsi="Avenir Next" w:cstheme="majorHAnsi"/>
          <w:sz w:val="18"/>
          <w:szCs w:val="20"/>
          <w:lang w:val="es-ES"/>
        </w:rPr>
      </w:pPr>
      <w:r w:rsidRPr="008510E7">
        <w:rPr>
          <w:rFonts w:ascii="Avenir Next" w:hAnsi="Avenir Next" w:cstheme="majorHAnsi"/>
          <w:b/>
          <w:sz w:val="18"/>
          <w:szCs w:val="18"/>
          <w:lang w:val="es-ES"/>
        </w:rPr>
        <w:t>Brazalete y cierre:</w:t>
      </w:r>
      <w:r w:rsidRPr="008510E7">
        <w:rPr>
          <w:rFonts w:ascii="Avenir Next" w:hAnsi="Avenir Next" w:cstheme="majorHAnsi"/>
          <w:sz w:val="18"/>
          <w:szCs w:val="18"/>
          <w:lang w:val="es-ES"/>
        </w:rPr>
        <w:t xml:space="preserve"> </w:t>
      </w:r>
      <w:r w:rsidRPr="008510E7">
        <w:rPr>
          <w:rFonts w:ascii="Avenir Next" w:hAnsi="Avenir Next" w:cstheme="majorHAnsi"/>
          <w:sz w:val="18"/>
          <w:szCs w:val="20"/>
          <w:lang w:val="es-ES"/>
        </w:rPr>
        <w:t>caucho negro con caucho blanco "efecto cordura". Doble cierre desplegable de titanio con revestimiento de DLC negro.</w:t>
      </w:r>
    </w:p>
    <w:p w14:paraId="5B630CEC" w14:textId="64026320" w:rsidR="005D5892" w:rsidRPr="008510E7" w:rsidRDefault="005D5892" w:rsidP="000447B9">
      <w:pPr>
        <w:jc w:val="both"/>
        <w:rPr>
          <w:rFonts w:ascii="Avenir Next" w:hAnsi="Avenir Next" w:cstheme="majorHAnsi"/>
          <w:b/>
          <w:sz w:val="18"/>
          <w:szCs w:val="18"/>
          <w:lang w:val="es-ES"/>
        </w:rPr>
      </w:pPr>
    </w:p>
    <w:sectPr w:rsidR="005D5892" w:rsidRPr="008510E7"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CEFB8" w14:textId="77777777" w:rsidR="006C524F" w:rsidRDefault="006C524F" w:rsidP="00E41444">
      <w:r>
        <w:separator/>
      </w:r>
    </w:p>
  </w:endnote>
  <w:endnote w:type="continuationSeparator" w:id="0">
    <w:p w14:paraId="0B3B668C" w14:textId="77777777" w:rsidR="006C524F" w:rsidRDefault="006C524F"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52260C" w:rsidRDefault="00CB3C1F" w:rsidP="00E41444">
    <w:pPr>
      <w:pStyle w:val="Pieddepage"/>
      <w:jc w:val="center"/>
      <w:rPr>
        <w:rFonts w:ascii="Avenir Next" w:hAnsi="Avenir Next"/>
        <w:sz w:val="18"/>
        <w:szCs w:val="18"/>
        <w:lang w:val="fr-CH"/>
      </w:rPr>
    </w:pPr>
    <w:r>
      <w:tab/>
    </w: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6914254A" w14:textId="3349A785" w:rsidR="00CB3C1F" w:rsidRPr="00E41444" w:rsidRDefault="00CB3C1F" w:rsidP="00E41444">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17356" w14:textId="77777777" w:rsidR="006C524F" w:rsidRDefault="006C524F" w:rsidP="00E41444">
      <w:r>
        <w:separator/>
      </w:r>
    </w:p>
  </w:footnote>
  <w:footnote w:type="continuationSeparator" w:id="0">
    <w:p w14:paraId="755B419A" w14:textId="77777777" w:rsidR="006C524F" w:rsidRDefault="006C524F"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B1"/>
    <w:rsid w:val="0000246E"/>
    <w:rsid w:val="00007690"/>
    <w:rsid w:val="000203DD"/>
    <w:rsid w:val="000447B9"/>
    <w:rsid w:val="0019386F"/>
    <w:rsid w:val="001A58A0"/>
    <w:rsid w:val="001A6673"/>
    <w:rsid w:val="001D287B"/>
    <w:rsid w:val="00200990"/>
    <w:rsid w:val="002738CB"/>
    <w:rsid w:val="00284C5D"/>
    <w:rsid w:val="00343566"/>
    <w:rsid w:val="00375A41"/>
    <w:rsid w:val="0038326D"/>
    <w:rsid w:val="00392C8B"/>
    <w:rsid w:val="00406DB2"/>
    <w:rsid w:val="00457BE9"/>
    <w:rsid w:val="004779C7"/>
    <w:rsid w:val="004E10F2"/>
    <w:rsid w:val="00503127"/>
    <w:rsid w:val="00576818"/>
    <w:rsid w:val="00584DDF"/>
    <w:rsid w:val="005B10B5"/>
    <w:rsid w:val="005C7B9B"/>
    <w:rsid w:val="005D5892"/>
    <w:rsid w:val="0068572A"/>
    <w:rsid w:val="00694426"/>
    <w:rsid w:val="006C524F"/>
    <w:rsid w:val="007017A0"/>
    <w:rsid w:val="007451DE"/>
    <w:rsid w:val="0079150E"/>
    <w:rsid w:val="007B62A6"/>
    <w:rsid w:val="007C24D3"/>
    <w:rsid w:val="0080279D"/>
    <w:rsid w:val="008065ED"/>
    <w:rsid w:val="008510E7"/>
    <w:rsid w:val="0085575E"/>
    <w:rsid w:val="00862DFC"/>
    <w:rsid w:val="008B4FB1"/>
    <w:rsid w:val="008D6E33"/>
    <w:rsid w:val="00936515"/>
    <w:rsid w:val="00943AC4"/>
    <w:rsid w:val="0097101E"/>
    <w:rsid w:val="009B15AA"/>
    <w:rsid w:val="009C0D70"/>
    <w:rsid w:val="009C673A"/>
    <w:rsid w:val="009D6870"/>
    <w:rsid w:val="009E5108"/>
    <w:rsid w:val="009F2408"/>
    <w:rsid w:val="00A125C2"/>
    <w:rsid w:val="00A16BA2"/>
    <w:rsid w:val="00A77AEC"/>
    <w:rsid w:val="00AB460E"/>
    <w:rsid w:val="00B21701"/>
    <w:rsid w:val="00B4027A"/>
    <w:rsid w:val="00B47417"/>
    <w:rsid w:val="00B51FCD"/>
    <w:rsid w:val="00BA32FE"/>
    <w:rsid w:val="00C447EC"/>
    <w:rsid w:val="00CB3C1F"/>
    <w:rsid w:val="00D3776E"/>
    <w:rsid w:val="00D61DDE"/>
    <w:rsid w:val="00DD66BF"/>
    <w:rsid w:val="00E02CFF"/>
    <w:rsid w:val="00E41444"/>
    <w:rsid w:val="00E965C8"/>
    <w:rsid w:val="00F01428"/>
    <w:rsid w:val="00F03472"/>
    <w:rsid w:val="00F81DC0"/>
    <w:rsid w:val="00F872F9"/>
    <w:rsid w:val="00F91E7E"/>
    <w:rsid w:val="00FD71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 w:type="table" w:styleId="Grilledutableau">
    <w:name w:val="Table Grid"/>
    <w:basedOn w:val="TableauNormal"/>
    <w:uiPriority w:val="59"/>
    <w:rsid w:val="005C7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4713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2020-08-20T08:26:00Z</cp:lastPrinted>
  <dcterms:created xsi:type="dcterms:W3CDTF">2020-07-07T08:39:00Z</dcterms:created>
  <dcterms:modified xsi:type="dcterms:W3CDTF">2020-08-20T08:27:00Z</dcterms:modified>
</cp:coreProperties>
</file>