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B6A41" w14:textId="1FCC06D1" w:rsidR="00595A73" w:rsidRPr="00AE6183" w:rsidRDefault="004C0638" w:rsidP="00AE6183">
      <w:pPr>
        <w:spacing w:line="276" w:lineRule="auto"/>
        <w:jc w:val="both"/>
        <w:rPr>
          <w:rFonts w:ascii="DINOT" w:eastAsia="Arial" w:hAnsi="DINOT" w:cs="Arial"/>
          <w:b/>
          <w:sz w:val="20"/>
          <w:szCs w:val="20"/>
        </w:rPr>
      </w:pPr>
      <w:r w:rsidRPr="00AE6183">
        <w:rPr>
          <w:rFonts w:ascii="DINOT" w:hAnsi="DINOT" w:cs="Arial"/>
          <w:b/>
          <w:bCs/>
          <w:noProof/>
          <w:sz w:val="20"/>
          <w:szCs w:val="20"/>
          <w:lang w:val="en-US"/>
        </w:rPr>
        <w:drawing>
          <wp:anchor distT="0" distB="0" distL="114300" distR="114300" simplePos="0" relativeHeight="251654656" behindDoc="1" locked="0" layoutInCell="1" allowOverlap="1" wp14:anchorId="115D748D" wp14:editId="5C0D9F6B">
            <wp:simplePos x="0" y="0"/>
            <wp:positionH relativeFrom="column">
              <wp:posOffset>2102197</wp:posOffset>
            </wp:positionH>
            <wp:positionV relativeFrom="paragraph">
              <wp:posOffset>-825600</wp:posOffset>
            </wp:positionV>
            <wp:extent cx="1552575" cy="684297"/>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p>
    <w:p w14:paraId="31C38C50" w14:textId="77777777" w:rsidR="00AE6183" w:rsidRPr="00975080" w:rsidRDefault="00AE6183" w:rsidP="00AE6183">
      <w:pPr>
        <w:spacing w:after="120" w:line="276" w:lineRule="auto"/>
        <w:jc w:val="center"/>
        <w:rPr>
          <w:rFonts w:ascii="DINOT-Light" w:hAnsi="DINOT-Light"/>
          <w:sz w:val="18"/>
          <w:lang w:val="en-US"/>
        </w:rPr>
      </w:pPr>
      <w:r w:rsidRPr="005F4186">
        <w:rPr>
          <w:rFonts w:ascii="DINOT-Light" w:hAnsi="DINOT-Light"/>
          <w:b/>
          <w:szCs w:val="32"/>
          <w:lang w:val="en-US"/>
        </w:rPr>
        <w:t>DEFY CLASSIC BLACK CERAMIC</w:t>
      </w:r>
      <w:r w:rsidRPr="005F4186">
        <w:rPr>
          <w:rFonts w:ascii="DINOT-Light" w:hAnsi="DINOT-Light"/>
          <w:b/>
          <w:sz w:val="20"/>
          <w:lang w:val="en-US"/>
        </w:rPr>
        <w:br/>
      </w:r>
      <w:r w:rsidRPr="00975080">
        <w:rPr>
          <w:rFonts w:ascii="DINOT-Light" w:hAnsi="DINOT-Light"/>
          <w:b/>
          <w:sz w:val="20"/>
          <w:lang w:val="en-US"/>
        </w:rPr>
        <w:t>Blacker. Bolder. Defiant.</w:t>
      </w:r>
    </w:p>
    <w:p w14:paraId="3837039C" w14:textId="77777777" w:rsidR="00AE6183" w:rsidRPr="00975080" w:rsidRDefault="00AE6183" w:rsidP="005F4186">
      <w:pPr>
        <w:spacing w:after="160" w:line="276" w:lineRule="auto"/>
        <w:jc w:val="both"/>
        <w:rPr>
          <w:rFonts w:ascii="DINOT-Light" w:hAnsi="DINOT-Light"/>
          <w:sz w:val="16"/>
          <w:lang w:val="en-US"/>
        </w:rPr>
      </w:pPr>
    </w:p>
    <w:p w14:paraId="343B05E0" w14:textId="77777777" w:rsidR="00AE6183" w:rsidRPr="00975080" w:rsidRDefault="00AE6183" w:rsidP="005F4186">
      <w:pPr>
        <w:spacing w:after="160" w:line="276" w:lineRule="auto"/>
        <w:jc w:val="both"/>
        <w:rPr>
          <w:rFonts w:ascii="DINOT-Light" w:hAnsi="DINOT-Light"/>
          <w:sz w:val="18"/>
          <w:szCs w:val="20"/>
          <w:lang w:val="en-US"/>
        </w:rPr>
      </w:pPr>
      <w:r w:rsidRPr="00975080">
        <w:rPr>
          <w:rFonts w:ascii="DINOT-Light" w:hAnsi="DINOT-Light"/>
          <w:b/>
          <w:sz w:val="18"/>
          <w:szCs w:val="20"/>
          <w:lang w:val="en-GB"/>
        </w:rPr>
        <w:t>Style and substance come together seamlessly in the new DEFY Classic Black Ceramic, marking the first time the ultra-hard and inherently black material makes its way to the DEFY Classic collection. With an intriguing display of micro-mechanics and the kind of superlative performance that has become synonymous with the Zenith manufacture, the DEFY Classic Black Ceramic resonates with the style-conscious urbanite.</w:t>
      </w:r>
    </w:p>
    <w:p w14:paraId="2E352328" w14:textId="77777777" w:rsidR="00AE6183" w:rsidRPr="00975080" w:rsidRDefault="00AE6183" w:rsidP="005F4186">
      <w:pPr>
        <w:spacing w:after="160" w:line="276" w:lineRule="auto"/>
        <w:jc w:val="both"/>
        <w:rPr>
          <w:rFonts w:ascii="DINOT-Light" w:hAnsi="DINOT-Light"/>
          <w:sz w:val="18"/>
          <w:szCs w:val="20"/>
          <w:lang w:val="en-US"/>
        </w:rPr>
      </w:pPr>
    </w:p>
    <w:p w14:paraId="22759646" w14:textId="575D37DE" w:rsidR="00AE6183" w:rsidRPr="00975080" w:rsidRDefault="00AE6183" w:rsidP="005F4186">
      <w:pPr>
        <w:spacing w:after="160" w:line="276" w:lineRule="auto"/>
        <w:jc w:val="both"/>
        <w:rPr>
          <w:rFonts w:ascii="DINOT-Light" w:hAnsi="DINOT-Light"/>
          <w:b/>
          <w:sz w:val="18"/>
          <w:szCs w:val="20"/>
          <w:lang w:val="en-US"/>
        </w:rPr>
      </w:pPr>
      <w:r w:rsidRPr="00975080">
        <w:rPr>
          <w:rFonts w:ascii="DINOT-Light" w:hAnsi="DINOT-Light"/>
          <w:b/>
          <w:sz w:val="18"/>
          <w:szCs w:val="20"/>
          <w:lang w:val="en-US"/>
        </w:rPr>
        <w:t>A striking silhouette</w:t>
      </w:r>
    </w:p>
    <w:p w14:paraId="11360FF6" w14:textId="411E2C22" w:rsidR="00AE6183" w:rsidRPr="00975080" w:rsidRDefault="00AE6183" w:rsidP="005F4186">
      <w:pPr>
        <w:spacing w:after="160" w:line="276" w:lineRule="auto"/>
        <w:jc w:val="both"/>
        <w:rPr>
          <w:rFonts w:ascii="DINOT-Light" w:hAnsi="DINOT-Light"/>
          <w:sz w:val="18"/>
          <w:szCs w:val="20"/>
          <w:lang w:val="en-US"/>
        </w:rPr>
      </w:pPr>
      <w:r w:rsidRPr="00975080">
        <w:rPr>
          <w:rFonts w:ascii="DINOT-Light" w:hAnsi="DINOT-Light"/>
          <w:sz w:val="18"/>
          <w:szCs w:val="20"/>
          <w:lang w:val="en-US"/>
        </w:rPr>
        <w:t>The DEFY Classic has made its mark as Zenith’s expression of neo-futuristic watchmaking in its purest form. With</w:t>
      </w:r>
      <w:r w:rsidRPr="00975080">
        <w:rPr>
          <w:rFonts w:ascii="DINOT-Light" w:hAnsi="DINOT-Light"/>
          <w:b/>
          <w:sz w:val="18"/>
          <w:szCs w:val="20"/>
          <w:lang w:val="en-US"/>
        </w:rPr>
        <w:t xml:space="preserve"> </w:t>
      </w:r>
      <w:r w:rsidRPr="00975080">
        <w:rPr>
          <w:rFonts w:ascii="DINOT-Light" w:hAnsi="DINOT-Light"/>
          <w:sz w:val="18"/>
          <w:szCs w:val="20"/>
          <w:lang w:val="en-US"/>
        </w:rPr>
        <w:t>the DEFY Classic Black Ceramic, its distinguishing features are brought to life from its subtly nuanced darkness and the sense of volume it conveys through balanced geometry and a unique, visionary architecture – inside and out.</w:t>
      </w:r>
    </w:p>
    <w:p w14:paraId="35EAA80A" w14:textId="590590D0" w:rsidR="00AE6183" w:rsidRPr="00975080" w:rsidRDefault="00AE6183" w:rsidP="005F4186">
      <w:pPr>
        <w:spacing w:after="160" w:line="276" w:lineRule="auto"/>
        <w:jc w:val="both"/>
        <w:rPr>
          <w:rFonts w:ascii="DINOT-Light" w:hAnsi="DINOT-Light"/>
          <w:b/>
          <w:sz w:val="18"/>
          <w:szCs w:val="20"/>
          <w:lang w:val="en-US"/>
        </w:rPr>
      </w:pPr>
      <w:r w:rsidRPr="00975080">
        <w:rPr>
          <w:rFonts w:ascii="DINOT-Light" w:hAnsi="DINOT-Light"/>
          <w:sz w:val="18"/>
          <w:szCs w:val="20"/>
          <w:lang w:val="en-US"/>
        </w:rPr>
        <w:t xml:space="preserve">Forged from wear-proof black zirconium oxide ceramic, the DEFY Classic’s faceted 41mm case features a combination of polished and satin-brushed surfaces, emphasizing </w:t>
      </w:r>
      <w:r w:rsidR="001555B9" w:rsidRPr="001555B9">
        <w:rPr>
          <w:rFonts w:ascii="DINOT-Light" w:hAnsi="DINOT-Light"/>
          <w:sz w:val="18"/>
          <w:szCs w:val="20"/>
          <w:lang w:val="en-US"/>
        </w:rPr>
        <w:t>its geometric and resolutely contemporary case inspired by the original Zenith DEFY collection first launched in the 1970s.</w:t>
      </w:r>
      <w:r w:rsidR="001555B9">
        <w:rPr>
          <w:rFonts w:ascii="DINOT-Light" w:hAnsi="DINOT-Light"/>
          <w:sz w:val="18"/>
          <w:szCs w:val="20"/>
          <w:lang w:val="en-US"/>
        </w:rPr>
        <w:t xml:space="preserve"> </w:t>
      </w:r>
      <w:r w:rsidRPr="00975080">
        <w:rPr>
          <w:rFonts w:ascii="DINOT-Light" w:hAnsi="DINOT-Light"/>
          <w:sz w:val="18"/>
          <w:szCs w:val="20"/>
          <w:lang w:val="en-US"/>
        </w:rPr>
        <w:t>The angular, silhouette of the case is softened by the perfectly circular bezel that haloes above it.</w:t>
      </w:r>
    </w:p>
    <w:p w14:paraId="65FBF3D6" w14:textId="77777777" w:rsidR="00AE6183" w:rsidRPr="00975080" w:rsidRDefault="00AE6183" w:rsidP="005F4186">
      <w:pPr>
        <w:spacing w:after="160" w:line="276" w:lineRule="auto"/>
        <w:jc w:val="both"/>
        <w:rPr>
          <w:rFonts w:ascii="DINOT-Light" w:hAnsi="DINOT-Light"/>
          <w:b/>
          <w:sz w:val="18"/>
          <w:szCs w:val="20"/>
          <w:lang w:val="en-GB"/>
        </w:rPr>
      </w:pPr>
    </w:p>
    <w:p w14:paraId="658A309F" w14:textId="43C48A57" w:rsidR="00AE6183" w:rsidRPr="00975080" w:rsidRDefault="00AE6183" w:rsidP="005F4186">
      <w:pPr>
        <w:spacing w:after="160" w:line="276" w:lineRule="auto"/>
        <w:jc w:val="both"/>
        <w:rPr>
          <w:rFonts w:ascii="DINOT-Light" w:hAnsi="DINOT-Light"/>
          <w:b/>
          <w:sz w:val="18"/>
          <w:szCs w:val="20"/>
          <w:lang w:val="en-GB"/>
        </w:rPr>
      </w:pPr>
      <w:r w:rsidRPr="00975080">
        <w:rPr>
          <w:rFonts w:ascii="DINOT-Light" w:hAnsi="DINOT-Light"/>
          <w:b/>
          <w:sz w:val="18"/>
          <w:szCs w:val="20"/>
          <w:lang w:val="en-GB"/>
        </w:rPr>
        <w:t>Stellar blackness</w:t>
      </w:r>
    </w:p>
    <w:p w14:paraId="6FC60C16" w14:textId="5389B84D" w:rsidR="00AE6183" w:rsidRPr="00975080" w:rsidRDefault="00AE6183" w:rsidP="005F4186">
      <w:pPr>
        <w:spacing w:after="160" w:line="276" w:lineRule="auto"/>
        <w:jc w:val="both"/>
        <w:rPr>
          <w:rFonts w:ascii="DINOT-Light" w:hAnsi="DINOT-Light"/>
          <w:sz w:val="18"/>
          <w:szCs w:val="20"/>
          <w:lang w:val="en-US"/>
        </w:rPr>
      </w:pPr>
      <w:r w:rsidRPr="00975080">
        <w:rPr>
          <w:rFonts w:ascii="DINOT-Light" w:hAnsi="DINOT-Light"/>
          <w:sz w:val="18"/>
          <w:szCs w:val="20"/>
          <w:lang w:val="en-GB"/>
        </w:rPr>
        <w:t xml:space="preserve">The centrepiece of the </w:t>
      </w:r>
      <w:r w:rsidRPr="00975080">
        <w:rPr>
          <w:rFonts w:ascii="DINOT-Light" w:hAnsi="DINOT-Light"/>
          <w:sz w:val="18"/>
          <w:szCs w:val="20"/>
          <w:lang w:val="en-US"/>
        </w:rPr>
        <w:t>DEFY Classic Black Ceramic’s is its avant-garde open dial. Taking on a stellar form with ultramodern angles, the multi-layered element seamlessly blends the neoteric display with the movement.</w:t>
      </w:r>
    </w:p>
    <w:p w14:paraId="26D78D45" w14:textId="1ACE19F2" w:rsidR="00AE6183" w:rsidRPr="00975080" w:rsidRDefault="00AE6183" w:rsidP="005F4186">
      <w:pPr>
        <w:spacing w:after="160" w:line="276" w:lineRule="auto"/>
        <w:jc w:val="both"/>
        <w:rPr>
          <w:rFonts w:ascii="DINOT-Light" w:hAnsi="DINOT-Light"/>
          <w:b/>
          <w:sz w:val="18"/>
          <w:szCs w:val="20"/>
          <w:lang w:val="en-US"/>
        </w:rPr>
      </w:pPr>
      <w:r w:rsidRPr="00975080">
        <w:rPr>
          <w:rFonts w:ascii="DINOT-Light" w:hAnsi="DINOT-Light"/>
          <w:sz w:val="18"/>
          <w:szCs w:val="20"/>
          <w:lang w:val="en-GB"/>
        </w:rPr>
        <w:t>In broad daylight, the faceted hands and applied markers appear as one with the blackened complex of the open dial and visible portions of the movement, with their polished ruthenium-treated surfaces gleaming through the darkness for surprisingly easy legibility. Come nightfall, they emit a subtle green glow from the Super-</w:t>
      </w:r>
      <w:proofErr w:type="spellStart"/>
      <w:r w:rsidRPr="00975080">
        <w:rPr>
          <w:rFonts w:ascii="DINOT-Light" w:hAnsi="DINOT-Light"/>
          <w:sz w:val="18"/>
          <w:szCs w:val="20"/>
          <w:lang w:val="en-GB"/>
        </w:rPr>
        <w:t>LumiNova</w:t>
      </w:r>
      <w:proofErr w:type="spellEnd"/>
      <w:r w:rsidRPr="00975080">
        <w:rPr>
          <w:rFonts w:ascii="DINOT-Light" w:hAnsi="DINOT-Light"/>
          <w:sz w:val="18"/>
          <w:szCs w:val="20"/>
          <w:lang w:val="en-GB"/>
        </w:rPr>
        <w:t xml:space="preserve">® SLN C1 coating, recalling the night-lights of a city that never sleeps. </w:t>
      </w:r>
    </w:p>
    <w:p w14:paraId="64D0E67A" w14:textId="77777777" w:rsidR="00AE6183" w:rsidRPr="00975080" w:rsidRDefault="00AE6183" w:rsidP="005F4186">
      <w:pPr>
        <w:spacing w:after="160" w:line="276" w:lineRule="auto"/>
        <w:jc w:val="both"/>
        <w:rPr>
          <w:rFonts w:ascii="DINOT-Light" w:hAnsi="DINOT-Light"/>
          <w:b/>
          <w:sz w:val="18"/>
          <w:szCs w:val="20"/>
          <w:lang w:val="en-US"/>
        </w:rPr>
      </w:pPr>
    </w:p>
    <w:p w14:paraId="6095B60D" w14:textId="5C0FCA4D" w:rsidR="00AE6183" w:rsidRPr="00975080" w:rsidRDefault="00AE6183" w:rsidP="005F4186">
      <w:pPr>
        <w:spacing w:after="160" w:line="276" w:lineRule="auto"/>
        <w:jc w:val="both"/>
        <w:rPr>
          <w:rFonts w:ascii="DINOT-Light" w:hAnsi="DINOT-Light"/>
          <w:b/>
          <w:sz w:val="18"/>
          <w:szCs w:val="20"/>
          <w:lang w:val="en-US"/>
        </w:rPr>
      </w:pPr>
      <w:r w:rsidRPr="00975080">
        <w:rPr>
          <w:rFonts w:ascii="DINOT-Light" w:hAnsi="DINOT-Light"/>
          <w:b/>
          <w:sz w:val="18"/>
          <w:szCs w:val="20"/>
          <w:lang w:val="en-US"/>
        </w:rPr>
        <w:t>Form and function as one</w:t>
      </w:r>
    </w:p>
    <w:p w14:paraId="23BEFD8F" w14:textId="213A03A1" w:rsidR="00AE6183" w:rsidRPr="00975080" w:rsidRDefault="00AE6183" w:rsidP="005F4186">
      <w:pPr>
        <w:spacing w:after="160" w:line="276" w:lineRule="auto"/>
        <w:jc w:val="both"/>
        <w:rPr>
          <w:rFonts w:ascii="DINOT-Light" w:hAnsi="DINOT-Light"/>
          <w:b/>
          <w:sz w:val="18"/>
          <w:szCs w:val="20"/>
          <w:lang w:val="en-GB"/>
        </w:rPr>
      </w:pPr>
      <w:r w:rsidRPr="00975080">
        <w:rPr>
          <w:rFonts w:ascii="DINOT-Light" w:hAnsi="DINOT-Light"/>
          <w:sz w:val="18"/>
          <w:szCs w:val="20"/>
          <w:lang w:val="en-US"/>
        </w:rPr>
        <w:t xml:space="preserve">Visible through the open dial as well as the sapphire case back of the DEFY Classic, the automatic Elite 670 manufacture movement beats unerringly. A staple movement in Zenith’s lineup for decades, the DEFY Classic represents the first time the Elite caliber has been </w:t>
      </w:r>
      <w:proofErr w:type="spellStart"/>
      <w:r w:rsidRPr="00975080">
        <w:rPr>
          <w:rFonts w:ascii="DINOT-Light" w:hAnsi="DINOT-Light"/>
          <w:sz w:val="18"/>
          <w:szCs w:val="20"/>
          <w:lang w:val="en-US"/>
        </w:rPr>
        <w:t>openworked</w:t>
      </w:r>
      <w:proofErr w:type="spellEnd"/>
      <w:r w:rsidRPr="00975080">
        <w:rPr>
          <w:rFonts w:ascii="DINOT-Light" w:hAnsi="DINOT-Light"/>
          <w:sz w:val="18"/>
          <w:szCs w:val="20"/>
          <w:lang w:val="en-US"/>
        </w:rPr>
        <w:t xml:space="preserve">. Its entire anatomy has been reimagined – not just aesthetically, with its restructured and open bridges with cutting-edge finishing – but also in its performance, as the Elite caliber in the DEFY Classic features a silicon </w:t>
      </w:r>
      <w:r w:rsidRPr="00975080">
        <w:rPr>
          <w:rFonts w:ascii="DINOT-Light" w:hAnsi="DINOT-Light"/>
          <w:sz w:val="18"/>
          <w:szCs w:val="20"/>
          <w:lang w:val="en-GB"/>
        </w:rPr>
        <w:t>pallet-lever and escape-wheel.</w:t>
      </w:r>
    </w:p>
    <w:p w14:paraId="44E4C7B9" w14:textId="77777777" w:rsidR="00DC691C" w:rsidRDefault="00AE6183" w:rsidP="005F4186">
      <w:pPr>
        <w:spacing w:after="160" w:line="276" w:lineRule="auto"/>
        <w:jc w:val="both"/>
        <w:rPr>
          <w:rFonts w:ascii="DINOT-Light" w:hAnsi="DINOT-Light"/>
          <w:sz w:val="20"/>
          <w:szCs w:val="20"/>
          <w:lang w:val="en-GB"/>
        </w:rPr>
      </w:pPr>
      <w:r w:rsidRPr="00975080">
        <w:rPr>
          <w:rFonts w:ascii="DINOT-Light" w:hAnsi="DINOT-Light"/>
          <w:sz w:val="18"/>
          <w:szCs w:val="20"/>
          <w:lang w:val="en-GB"/>
        </w:rPr>
        <w:t xml:space="preserve">Perfectly integrated with the contours of the case and following the structured lines of the dial and movement, the DEFY Classic Black Ceramic is fitted with a black </w:t>
      </w:r>
      <w:proofErr w:type="spellStart"/>
      <w:r w:rsidRPr="00975080">
        <w:rPr>
          <w:rFonts w:ascii="DINOT-Light" w:hAnsi="DINOT-Light"/>
          <w:sz w:val="18"/>
          <w:szCs w:val="20"/>
          <w:lang w:val="en-GB"/>
        </w:rPr>
        <w:t>unistructure</w:t>
      </w:r>
      <w:proofErr w:type="spellEnd"/>
      <w:r w:rsidRPr="00975080">
        <w:rPr>
          <w:rFonts w:ascii="DINOT-Light" w:hAnsi="DINOT-Light"/>
          <w:sz w:val="18"/>
          <w:szCs w:val="20"/>
          <w:lang w:val="en-GB"/>
        </w:rPr>
        <w:t xml:space="preserve"> rubber strap, offering sporty, casual elegance and comfort in all situations an urban explorer may encounter</w:t>
      </w:r>
      <w:r w:rsidRPr="00AE6183">
        <w:rPr>
          <w:rFonts w:ascii="DINOT-Light" w:hAnsi="DINOT-Light"/>
          <w:sz w:val="20"/>
          <w:szCs w:val="20"/>
          <w:lang w:val="en-GB"/>
        </w:rPr>
        <w:t>.</w:t>
      </w:r>
    </w:p>
    <w:p w14:paraId="77069A12" w14:textId="622764E6" w:rsidR="005F4186" w:rsidRDefault="005F4186" w:rsidP="005F418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DINOT-Light" w:hAnsi="DINOT-Light"/>
          <w:sz w:val="20"/>
          <w:szCs w:val="20"/>
          <w:lang w:val="en-GB"/>
        </w:rPr>
      </w:pPr>
      <w:r>
        <w:rPr>
          <w:rFonts w:ascii="DINOT-Light" w:hAnsi="DINOT-Light"/>
          <w:sz w:val="20"/>
          <w:szCs w:val="20"/>
          <w:lang w:val="en-GB"/>
        </w:rPr>
        <w:br w:type="page"/>
      </w:r>
    </w:p>
    <w:p w14:paraId="1C56C564" w14:textId="0BC0C111" w:rsidR="00DC691C" w:rsidRDefault="005F4186" w:rsidP="005F4186">
      <w:pPr>
        <w:spacing w:after="160" w:line="276" w:lineRule="auto"/>
        <w:jc w:val="both"/>
        <w:rPr>
          <w:rFonts w:ascii="DINOT-Light" w:hAnsi="DINOT-Light"/>
          <w:sz w:val="20"/>
          <w:szCs w:val="20"/>
          <w:lang w:val="en-GB"/>
        </w:rPr>
      </w:pPr>
      <w:r w:rsidRPr="00AE6183">
        <w:rPr>
          <w:rFonts w:ascii="DINOT" w:hAnsi="DINOT" w:cs="Arial"/>
          <w:b/>
          <w:bCs/>
          <w:noProof/>
          <w:sz w:val="20"/>
          <w:szCs w:val="20"/>
          <w:lang w:val="en-US"/>
        </w:rPr>
        <w:lastRenderedPageBreak/>
        <w:drawing>
          <wp:anchor distT="0" distB="0" distL="114300" distR="114300" simplePos="0" relativeHeight="251665920" behindDoc="1" locked="0" layoutInCell="1" allowOverlap="1" wp14:anchorId="7CBB57DA" wp14:editId="682F2F83">
            <wp:simplePos x="0" y="0"/>
            <wp:positionH relativeFrom="margin">
              <wp:posOffset>2102197</wp:posOffset>
            </wp:positionH>
            <wp:positionV relativeFrom="paragraph">
              <wp:posOffset>-791094</wp:posOffset>
            </wp:positionV>
            <wp:extent cx="1552575" cy="684297"/>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p>
    <w:p w14:paraId="535199E0" w14:textId="77777777" w:rsidR="00DC691C" w:rsidRPr="00DC691C" w:rsidRDefault="00DC691C" w:rsidP="005F4186">
      <w:pPr>
        <w:spacing w:after="160" w:line="276" w:lineRule="auto"/>
        <w:jc w:val="both"/>
        <w:rPr>
          <w:rFonts w:ascii="DINOT-Light" w:hAnsi="DINOT-Light"/>
          <w:b/>
          <w:sz w:val="18"/>
          <w:szCs w:val="20"/>
          <w:lang w:val="en-GB"/>
        </w:rPr>
      </w:pPr>
      <w:r w:rsidRPr="00DC691C">
        <w:rPr>
          <w:rFonts w:ascii="DINOT-Light" w:hAnsi="DINOT-Light"/>
          <w:b/>
          <w:sz w:val="18"/>
          <w:szCs w:val="20"/>
          <w:lang w:val="en-GB"/>
        </w:rPr>
        <w:t>ZENITH: The Future of Swiss Watchmaking</w:t>
      </w:r>
    </w:p>
    <w:p w14:paraId="7C891198" w14:textId="77777777" w:rsidR="00DC691C" w:rsidRPr="00DC691C" w:rsidRDefault="00DC691C" w:rsidP="005F4186">
      <w:pPr>
        <w:spacing w:after="160" w:line="276" w:lineRule="auto"/>
        <w:jc w:val="both"/>
        <w:rPr>
          <w:rFonts w:ascii="DINOT-Light" w:hAnsi="DINOT-Light"/>
          <w:sz w:val="18"/>
          <w:szCs w:val="20"/>
          <w:lang w:val="en-GB"/>
        </w:rPr>
      </w:pPr>
      <w:r w:rsidRPr="00DC691C">
        <w:rPr>
          <w:rFonts w:ascii="DINOT-Light" w:hAnsi="DINOT-Light"/>
          <w:sz w:val="18"/>
          <w:szCs w:val="20"/>
          <w:lang w:val="en-GB"/>
        </w:rPr>
        <w:t>Since 1865, Zenith has been guided by authenticity, daring and passion in pushing the boundaries of excellence, precision and innovation. Soon after its founding in Le Locle by visionary watchmaker Georges Favre-</w:t>
      </w:r>
      <w:proofErr w:type="spellStart"/>
      <w:r w:rsidRPr="00DC691C">
        <w:rPr>
          <w:rFonts w:ascii="DINOT-Light" w:hAnsi="DINOT-Light"/>
          <w:sz w:val="18"/>
          <w:szCs w:val="20"/>
          <w:lang w:val="en-GB"/>
        </w:rPr>
        <w:t>Jacot</w:t>
      </w:r>
      <w:proofErr w:type="spellEnd"/>
      <w:r w:rsidRPr="00DC691C">
        <w:rPr>
          <w:rFonts w:ascii="DINOT-Light" w:hAnsi="DINOT-Light"/>
          <w:sz w:val="18"/>
          <w:szCs w:val="20"/>
          <w:lang w:val="en-GB"/>
        </w:rPr>
        <w:t>, Zenith gained recognition for the precision of its chronometers, with which it has won 2,333 chronometry prizes in just over a century and a half of existence: an absolute record. Famed for its legendary 1969 El Primero calibre enabling short-time measurements accurate to the nearest 1/10th of a second, the Manufacture has since developed over 600 movement variations. Today, Zenith offers new and fascinating vistas in time measurement, including 1/100th of a second timing with the Defy El Primero 21; and a whole new dimension in mechanical precision with the world’s most accurate watch, the 21st century Defy Lab.  Energised by newly reinforced ties with a proud tradition of dynamic, avant-garde thinking, Zenith is writing its future… and the future of Swiss watchmaking.</w:t>
      </w:r>
    </w:p>
    <w:p w14:paraId="69F6CB8C" w14:textId="17CEE3D1" w:rsidR="00311014" w:rsidRPr="00AE6183" w:rsidRDefault="00311014" w:rsidP="00311014">
      <w:pPr>
        <w:spacing w:after="120" w:line="276" w:lineRule="auto"/>
        <w:jc w:val="both"/>
        <w:rPr>
          <w:rFonts w:ascii="DINOT-Light" w:hAnsi="DINOT-Light"/>
          <w:b/>
          <w:sz w:val="20"/>
          <w:szCs w:val="20"/>
          <w:lang w:val="en-US"/>
        </w:rPr>
      </w:pPr>
      <w:r w:rsidRPr="00AE6183">
        <w:rPr>
          <w:rFonts w:asciiTheme="minorHAnsi" w:hAnsiTheme="minorHAnsi" w:cs="Arial"/>
          <w:b/>
          <w:sz w:val="20"/>
          <w:szCs w:val="20"/>
          <w:lang w:val="en-US"/>
        </w:rPr>
        <w:br w:type="page"/>
      </w:r>
    </w:p>
    <w:p w14:paraId="791BAC81" w14:textId="179A01A2" w:rsidR="00311014" w:rsidRPr="00AE6183" w:rsidRDefault="00311014" w:rsidP="00311014">
      <w:pPr>
        <w:spacing w:line="276" w:lineRule="auto"/>
        <w:rPr>
          <w:rFonts w:ascii="DINOT-Light" w:hAnsi="DINOT-Light" w:cs="Arial"/>
          <w:b/>
          <w:szCs w:val="20"/>
          <w:lang w:val="en-GB"/>
        </w:rPr>
      </w:pPr>
      <w:bookmarkStart w:id="0" w:name="_GoBack"/>
      <w:r w:rsidRPr="004A07E9">
        <w:rPr>
          <w:rFonts w:asciiTheme="minorHAnsi" w:hAnsiTheme="minorHAnsi" w:cs="Arial"/>
          <w:b/>
          <w:bCs/>
          <w:noProof/>
          <w:sz w:val="20"/>
          <w:szCs w:val="20"/>
          <w:lang w:val="en-US"/>
        </w:rPr>
        <w:lastRenderedPageBreak/>
        <w:drawing>
          <wp:anchor distT="0" distB="0" distL="114300" distR="114300" simplePos="0" relativeHeight="251663872" behindDoc="1" locked="0" layoutInCell="1" allowOverlap="1" wp14:anchorId="445503D5" wp14:editId="0E91E226">
            <wp:simplePos x="0" y="0"/>
            <wp:positionH relativeFrom="column">
              <wp:posOffset>2102197</wp:posOffset>
            </wp:positionH>
            <wp:positionV relativeFrom="paragraph">
              <wp:posOffset>-808347</wp:posOffset>
            </wp:positionV>
            <wp:extent cx="1552575" cy="684297"/>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bookmarkEnd w:id="0"/>
    </w:p>
    <w:p w14:paraId="1D4AE1FD" w14:textId="0B36255A" w:rsidR="00311014" w:rsidRPr="00AE6183" w:rsidRDefault="00311014" w:rsidP="00311014">
      <w:pPr>
        <w:spacing w:after="120" w:line="276" w:lineRule="auto"/>
        <w:rPr>
          <w:rFonts w:ascii="DINOT-Light" w:hAnsi="DINOT-Light" w:cs="Arial"/>
          <w:b/>
          <w:szCs w:val="20"/>
          <w:bdr w:val="none" w:sz="0" w:space="0" w:color="auto"/>
          <w:lang w:val="en-GB"/>
        </w:rPr>
      </w:pPr>
      <w:r w:rsidRPr="00AE6183">
        <w:rPr>
          <w:rFonts w:ascii="DINOT-Light" w:hAnsi="DINOT-Light"/>
          <w:noProof/>
        </w:rPr>
        <w:drawing>
          <wp:anchor distT="0" distB="0" distL="114300" distR="114300" simplePos="0" relativeHeight="251659776" behindDoc="0" locked="0" layoutInCell="1" allowOverlap="1" wp14:anchorId="1F2F3863" wp14:editId="2E0DD992">
            <wp:simplePos x="0" y="0"/>
            <wp:positionH relativeFrom="margin">
              <wp:align>right</wp:align>
            </wp:positionH>
            <wp:positionV relativeFrom="margin">
              <wp:posOffset>400050</wp:posOffset>
            </wp:positionV>
            <wp:extent cx="2294255" cy="3700145"/>
            <wp:effectExtent l="0" t="0" r="0" b="0"/>
            <wp:wrapSquare wrapText="bothSides"/>
            <wp:docPr id="7" name="Picture 8" descr="Y:\01. Projects\ZENITH\ZEN022 ZENITH Elite Skeleton\ZEN022ZV - Defy Classic Ceramic - Align to Prototype\CR\CR-ZEN022ZZV-02-01.png">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826"/>
                    <a:stretch/>
                  </pic:blipFill>
                  <pic:spPr bwMode="auto">
                    <a:xfrm>
                      <a:off x="0" y="0"/>
                      <a:ext cx="2294255" cy="3700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6183">
        <w:rPr>
          <w:rFonts w:ascii="DINOT-Light" w:hAnsi="DINOT-Light" w:cs="Arial"/>
          <w:b/>
          <w:szCs w:val="20"/>
          <w:lang w:val="en-GB"/>
        </w:rPr>
        <w:t>DEFY CLASSIC BLACK CERAMIC</w:t>
      </w:r>
    </w:p>
    <w:p w14:paraId="5CCC6BD8" w14:textId="634FE5F7" w:rsidR="00311014" w:rsidRPr="00AE6183" w:rsidRDefault="00311014" w:rsidP="00311014">
      <w:pPr>
        <w:spacing w:line="276" w:lineRule="auto"/>
        <w:rPr>
          <w:rFonts w:ascii="DINOT-Light" w:hAnsi="DINOT-Light" w:cs="Arial"/>
          <w:sz w:val="18"/>
          <w:szCs w:val="20"/>
          <w:lang w:val="en-GB"/>
        </w:rPr>
      </w:pPr>
      <w:r w:rsidRPr="00AE6183">
        <w:rPr>
          <w:rFonts w:ascii="DINOT-Light" w:hAnsi="DINOT-Light" w:cs="Arial"/>
          <w:sz w:val="18"/>
          <w:szCs w:val="20"/>
          <w:lang w:val="en-GB"/>
        </w:rPr>
        <w:t>TECHNICAL DETAILS</w:t>
      </w:r>
    </w:p>
    <w:p w14:paraId="29521B81" w14:textId="77777777" w:rsidR="00311014" w:rsidRPr="00AE6183" w:rsidRDefault="00311014" w:rsidP="00311014">
      <w:pPr>
        <w:spacing w:line="276" w:lineRule="auto"/>
        <w:rPr>
          <w:rFonts w:ascii="DINOT-Light" w:hAnsi="DINOT-Light" w:cs="Arial"/>
          <w:sz w:val="18"/>
          <w:szCs w:val="20"/>
          <w:lang w:val="en-GB"/>
        </w:rPr>
      </w:pPr>
    </w:p>
    <w:p w14:paraId="4DF5FC21"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Reference: 49.9000.670/</w:t>
      </w:r>
      <w:proofErr w:type="gramStart"/>
      <w:r w:rsidRPr="00AE6183">
        <w:rPr>
          <w:rFonts w:ascii="DINOT-Light" w:hAnsi="DINOT-Light" w:cs="Arial"/>
          <w:sz w:val="18"/>
          <w:szCs w:val="20"/>
          <w:lang w:val="en-GB"/>
        </w:rPr>
        <w:t>78.R</w:t>
      </w:r>
      <w:proofErr w:type="gramEnd"/>
      <w:r w:rsidRPr="00AE6183">
        <w:rPr>
          <w:rFonts w:ascii="DINOT-Light" w:hAnsi="DINOT-Light" w:cs="Arial"/>
          <w:sz w:val="18"/>
          <w:szCs w:val="20"/>
          <w:lang w:val="en-GB"/>
        </w:rPr>
        <w:t>782</w:t>
      </w:r>
    </w:p>
    <w:p w14:paraId="70D656C7" w14:textId="77777777" w:rsidR="00311014" w:rsidRPr="00AE6183" w:rsidRDefault="00311014" w:rsidP="00311014">
      <w:pPr>
        <w:spacing w:after="40" w:line="276" w:lineRule="auto"/>
        <w:rPr>
          <w:rFonts w:ascii="DINOT-Light" w:hAnsi="DINOT-Light" w:cs="Arial"/>
          <w:b/>
          <w:sz w:val="18"/>
          <w:szCs w:val="20"/>
          <w:lang w:val="en-GB"/>
        </w:rPr>
      </w:pPr>
    </w:p>
    <w:p w14:paraId="69CBF37F" w14:textId="77777777" w:rsidR="00311014" w:rsidRPr="00AE6183" w:rsidRDefault="00311014" w:rsidP="00311014">
      <w:pPr>
        <w:spacing w:after="40" w:line="276" w:lineRule="auto"/>
        <w:rPr>
          <w:rFonts w:ascii="DINOT-Light" w:hAnsi="DINOT-Light" w:cs="Arial"/>
          <w:b/>
          <w:sz w:val="18"/>
          <w:szCs w:val="20"/>
          <w:lang w:val="en-GB"/>
        </w:rPr>
      </w:pPr>
      <w:r w:rsidRPr="00AE6183">
        <w:rPr>
          <w:rFonts w:ascii="DINOT-Light" w:hAnsi="DINOT-Light" w:cs="Arial"/>
          <w:b/>
          <w:sz w:val="18"/>
          <w:szCs w:val="20"/>
          <w:lang w:val="en-GB"/>
        </w:rPr>
        <w:t xml:space="preserve">KEY POINTS </w:t>
      </w:r>
    </w:p>
    <w:p w14:paraId="50493BDB"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 xml:space="preserve">Elite skeletonised movement </w:t>
      </w:r>
    </w:p>
    <w:p w14:paraId="248A2FE7"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NEW 41mm Black Ceramic case</w:t>
      </w:r>
    </w:p>
    <w:p w14:paraId="645C879C"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 xml:space="preserve">Silicon escape-wheel and lever </w:t>
      </w:r>
    </w:p>
    <w:p w14:paraId="4CCB4B94" w14:textId="77777777" w:rsidR="00311014" w:rsidRPr="00AE6183" w:rsidRDefault="00311014" w:rsidP="00311014">
      <w:pPr>
        <w:spacing w:after="40" w:line="276" w:lineRule="auto"/>
        <w:rPr>
          <w:rFonts w:ascii="DINOT-Light" w:hAnsi="DINOT-Light" w:cs="Arial"/>
          <w:sz w:val="18"/>
          <w:szCs w:val="20"/>
          <w:lang w:val="en-GB"/>
        </w:rPr>
      </w:pPr>
    </w:p>
    <w:p w14:paraId="2E1F59CA" w14:textId="77777777" w:rsidR="00311014" w:rsidRPr="00AE6183" w:rsidRDefault="00311014" w:rsidP="00311014">
      <w:pPr>
        <w:spacing w:after="40" w:line="276" w:lineRule="auto"/>
        <w:rPr>
          <w:rFonts w:ascii="DINOT-Light" w:hAnsi="DINOT-Light" w:cs="Arial"/>
          <w:b/>
          <w:sz w:val="18"/>
          <w:szCs w:val="20"/>
          <w:lang w:val="en-GB"/>
        </w:rPr>
      </w:pPr>
      <w:r w:rsidRPr="00AE6183">
        <w:rPr>
          <w:rFonts w:ascii="DINOT-Light" w:hAnsi="DINOT-Light" w:cs="Arial"/>
          <w:b/>
          <w:sz w:val="18"/>
          <w:szCs w:val="20"/>
          <w:lang w:val="en-GB"/>
        </w:rPr>
        <w:t>MOVEMENT</w:t>
      </w:r>
    </w:p>
    <w:p w14:paraId="03C458E1" w14:textId="77777777" w:rsidR="00311014" w:rsidRPr="00AE6183" w:rsidRDefault="00311014" w:rsidP="00311014">
      <w:pPr>
        <w:spacing w:after="40" w:line="276" w:lineRule="auto"/>
        <w:rPr>
          <w:rFonts w:ascii="DINOT-Light" w:hAnsi="DINOT-Light" w:cs="Arial"/>
          <w:sz w:val="18"/>
          <w:szCs w:val="20"/>
          <w:lang w:val="en-US"/>
        </w:rPr>
      </w:pPr>
      <w:r w:rsidRPr="00AE6183">
        <w:rPr>
          <w:rFonts w:ascii="DINOT-Light" w:hAnsi="DINOT-Light" w:cs="Arial"/>
          <w:sz w:val="18"/>
          <w:szCs w:val="20"/>
          <w:lang w:val="en-US"/>
        </w:rPr>
        <w:t>Elite 670 SK, Automatic</w:t>
      </w:r>
    </w:p>
    <w:p w14:paraId="1E924F96" w14:textId="77777777" w:rsidR="00311014" w:rsidRPr="00AE6183" w:rsidRDefault="00311014" w:rsidP="00311014">
      <w:pPr>
        <w:spacing w:after="40" w:line="276" w:lineRule="auto"/>
        <w:rPr>
          <w:rFonts w:ascii="DINOT-Light" w:hAnsi="DINOT-Light" w:cs="Arial"/>
          <w:sz w:val="18"/>
          <w:szCs w:val="20"/>
          <w:lang w:val="en-US"/>
        </w:rPr>
      </w:pPr>
      <w:proofErr w:type="spellStart"/>
      <w:r w:rsidRPr="00AE6183">
        <w:rPr>
          <w:rFonts w:ascii="DINOT-Light" w:hAnsi="DINOT-Light" w:cs="Arial"/>
          <w:sz w:val="18"/>
          <w:szCs w:val="20"/>
          <w:lang w:val="en-US"/>
        </w:rPr>
        <w:t>Calibre</w:t>
      </w:r>
      <w:proofErr w:type="spellEnd"/>
      <w:r w:rsidRPr="00AE6183">
        <w:rPr>
          <w:rFonts w:ascii="DINOT-Light" w:hAnsi="DINOT-Light" w:cs="Arial"/>
          <w:sz w:val="18"/>
          <w:szCs w:val="20"/>
          <w:lang w:val="en-US"/>
        </w:rPr>
        <w:t>: 11 ½``` (Diameter: 25.60mm)</w:t>
      </w:r>
    </w:p>
    <w:p w14:paraId="6E03E888"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Movement thickness: 3.88mm</w:t>
      </w:r>
    </w:p>
    <w:p w14:paraId="26FCAEB5"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Components: 187</w:t>
      </w:r>
    </w:p>
    <w:p w14:paraId="46C70EA0"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Jewels: 27</w:t>
      </w:r>
    </w:p>
    <w:p w14:paraId="5D88E4CB"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Power-reserve: min. 48 hours</w:t>
      </w:r>
    </w:p>
    <w:p w14:paraId="67BE2353"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Finishing: Special oscillating weight with satin-brushed finish</w:t>
      </w:r>
    </w:p>
    <w:p w14:paraId="045E105B" w14:textId="77777777" w:rsidR="00311014" w:rsidRPr="00AE6183" w:rsidRDefault="00311014" w:rsidP="00311014">
      <w:pPr>
        <w:spacing w:after="40" w:line="276" w:lineRule="auto"/>
        <w:rPr>
          <w:rFonts w:ascii="DINOT-Light" w:hAnsi="DINOT-Light" w:cs="Arial"/>
          <w:sz w:val="18"/>
          <w:szCs w:val="20"/>
          <w:lang w:val="en-GB"/>
        </w:rPr>
      </w:pPr>
    </w:p>
    <w:p w14:paraId="27A6276F" w14:textId="77777777" w:rsidR="00311014" w:rsidRPr="00AE6183" w:rsidRDefault="00311014" w:rsidP="00311014">
      <w:pPr>
        <w:spacing w:after="40" w:line="276" w:lineRule="auto"/>
        <w:rPr>
          <w:rFonts w:ascii="DINOT-Light" w:hAnsi="DINOT-Light" w:cs="Arial"/>
          <w:b/>
          <w:sz w:val="18"/>
          <w:szCs w:val="20"/>
          <w:lang w:val="en-GB"/>
        </w:rPr>
      </w:pPr>
      <w:r w:rsidRPr="00AE6183">
        <w:rPr>
          <w:rFonts w:ascii="DINOT-Light" w:hAnsi="DINOT-Light" w:cs="Arial"/>
          <w:b/>
          <w:sz w:val="18"/>
          <w:szCs w:val="20"/>
          <w:lang w:val="en-GB"/>
        </w:rPr>
        <w:t>FUNCTIONS</w:t>
      </w:r>
    </w:p>
    <w:p w14:paraId="2C43A5E4"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Hours and minutes in the centre</w:t>
      </w:r>
    </w:p>
    <w:p w14:paraId="3A3FEA21"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 xml:space="preserve">Central seconds hand </w:t>
      </w:r>
    </w:p>
    <w:p w14:paraId="4105C6B6"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Date indication at 6 o’clock</w:t>
      </w:r>
    </w:p>
    <w:p w14:paraId="15A4FBFA" w14:textId="77777777" w:rsidR="00311014" w:rsidRPr="00AE6183" w:rsidRDefault="00311014" w:rsidP="00311014">
      <w:pPr>
        <w:spacing w:after="40" w:line="276" w:lineRule="auto"/>
        <w:rPr>
          <w:rFonts w:ascii="DINOT-Light" w:hAnsi="DINOT-Light" w:cs="Arial"/>
          <w:sz w:val="18"/>
          <w:szCs w:val="20"/>
          <w:lang w:val="en-GB"/>
        </w:rPr>
      </w:pPr>
    </w:p>
    <w:p w14:paraId="756360B6" w14:textId="77777777" w:rsidR="00311014" w:rsidRPr="00AE6183" w:rsidRDefault="00311014" w:rsidP="00311014">
      <w:pPr>
        <w:spacing w:after="40" w:line="276" w:lineRule="auto"/>
        <w:rPr>
          <w:rFonts w:ascii="DINOT-Light" w:hAnsi="DINOT-Light" w:cs="Arial"/>
          <w:b/>
          <w:sz w:val="18"/>
          <w:szCs w:val="20"/>
          <w:lang w:val="en-GB"/>
        </w:rPr>
      </w:pPr>
      <w:r w:rsidRPr="00AE6183">
        <w:rPr>
          <w:rFonts w:ascii="DINOT-Light" w:hAnsi="DINOT-Light" w:cs="Arial"/>
          <w:b/>
          <w:sz w:val="18"/>
          <w:szCs w:val="20"/>
          <w:lang w:val="en-GB"/>
        </w:rPr>
        <w:t>CASE, DIAL &amp; HANDS</w:t>
      </w:r>
    </w:p>
    <w:p w14:paraId="00821D7B"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Diameter: 41mm</w:t>
      </w:r>
    </w:p>
    <w:p w14:paraId="1AB1B8CD"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Diameter opening: 32.5mm</w:t>
      </w:r>
    </w:p>
    <w:p w14:paraId="2F0B3E08"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Thickness: 10.75mm</w:t>
      </w:r>
    </w:p>
    <w:p w14:paraId="5D5788AA"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Crystal: Domed sapphire crystal with anti-reflective treatment on both sides</w:t>
      </w:r>
    </w:p>
    <w:p w14:paraId="0222DC75"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Case-back: Transparent sapphire crystal</w:t>
      </w:r>
    </w:p>
    <w:p w14:paraId="0E702583"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Material: Black Ceramic</w:t>
      </w:r>
    </w:p>
    <w:p w14:paraId="7F5BBE1F"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Water-resistance: 10 ATM</w:t>
      </w:r>
    </w:p>
    <w:p w14:paraId="7D99B08E"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 xml:space="preserve">Dial: </w:t>
      </w:r>
      <w:proofErr w:type="spellStart"/>
      <w:r w:rsidRPr="00AE6183">
        <w:rPr>
          <w:rFonts w:ascii="DINOT-Light" w:hAnsi="DINOT-Light" w:cs="Arial"/>
          <w:sz w:val="18"/>
          <w:szCs w:val="20"/>
          <w:lang w:val="en-GB"/>
        </w:rPr>
        <w:t>Openworked</w:t>
      </w:r>
      <w:proofErr w:type="spellEnd"/>
      <w:r w:rsidRPr="00AE6183">
        <w:rPr>
          <w:rFonts w:ascii="DINOT-Light" w:hAnsi="DINOT-Light" w:cs="Arial"/>
          <w:sz w:val="18"/>
          <w:szCs w:val="20"/>
          <w:lang w:val="en-GB"/>
        </w:rPr>
        <w:t xml:space="preserve"> </w:t>
      </w:r>
    </w:p>
    <w:p w14:paraId="0C173D30"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Hour-markers: Ruthenium-plated, faceted and coated with Super-</w:t>
      </w:r>
      <w:proofErr w:type="spellStart"/>
      <w:r w:rsidRPr="00AE6183">
        <w:rPr>
          <w:rFonts w:ascii="DINOT-Light" w:hAnsi="DINOT-Light" w:cs="Arial"/>
          <w:sz w:val="18"/>
          <w:szCs w:val="20"/>
          <w:lang w:val="en-GB"/>
        </w:rPr>
        <w:t>LumiNova</w:t>
      </w:r>
      <w:proofErr w:type="spellEnd"/>
      <w:r w:rsidRPr="00AE6183">
        <w:rPr>
          <w:rFonts w:ascii="DINOT-Light" w:hAnsi="DINOT-Light" w:cs="Arial"/>
          <w:sz w:val="18"/>
          <w:szCs w:val="20"/>
          <w:lang w:val="en-GB"/>
        </w:rPr>
        <w:t>® SLN C1</w:t>
      </w:r>
    </w:p>
    <w:p w14:paraId="729308D1"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Hands: Ruthenium-plated, faceted and coated with Super-</w:t>
      </w:r>
      <w:proofErr w:type="spellStart"/>
      <w:r w:rsidRPr="00AE6183">
        <w:rPr>
          <w:rFonts w:ascii="DINOT-Light" w:hAnsi="DINOT-Light" w:cs="Arial"/>
          <w:sz w:val="18"/>
          <w:szCs w:val="20"/>
          <w:lang w:val="en-GB"/>
        </w:rPr>
        <w:t>LumiNova</w:t>
      </w:r>
      <w:proofErr w:type="spellEnd"/>
      <w:r w:rsidRPr="00AE6183">
        <w:rPr>
          <w:rFonts w:ascii="DINOT-Light" w:hAnsi="DINOT-Light" w:cs="Arial"/>
          <w:sz w:val="18"/>
          <w:szCs w:val="20"/>
          <w:lang w:val="en-GB"/>
        </w:rPr>
        <w:t>® SLN C1</w:t>
      </w:r>
    </w:p>
    <w:p w14:paraId="0DC6247A" w14:textId="77777777" w:rsidR="00311014" w:rsidRPr="00AE6183" w:rsidRDefault="00311014" w:rsidP="00311014">
      <w:pPr>
        <w:spacing w:after="40" w:line="276" w:lineRule="auto"/>
        <w:rPr>
          <w:rFonts w:ascii="DINOT-Light" w:hAnsi="DINOT-Light" w:cs="Arial"/>
          <w:sz w:val="18"/>
          <w:szCs w:val="20"/>
          <w:lang w:val="en-GB"/>
        </w:rPr>
      </w:pPr>
    </w:p>
    <w:p w14:paraId="05721B30" w14:textId="77777777" w:rsidR="00311014" w:rsidRPr="00AE6183" w:rsidRDefault="00311014" w:rsidP="00311014">
      <w:pPr>
        <w:spacing w:after="40" w:line="276" w:lineRule="auto"/>
        <w:rPr>
          <w:rFonts w:ascii="DINOT-Light" w:hAnsi="DINOT-Light" w:cs="Arial"/>
          <w:b/>
          <w:sz w:val="18"/>
          <w:szCs w:val="20"/>
          <w:lang w:val="en-GB"/>
        </w:rPr>
      </w:pPr>
      <w:r w:rsidRPr="00AE6183">
        <w:rPr>
          <w:rFonts w:ascii="DINOT-Light" w:hAnsi="DINOT-Light" w:cs="Arial"/>
          <w:b/>
          <w:sz w:val="18"/>
          <w:szCs w:val="20"/>
          <w:lang w:val="en-GB"/>
        </w:rPr>
        <w:t>STRAP &amp; BUCKLE</w:t>
      </w:r>
    </w:p>
    <w:p w14:paraId="0589C321"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Black rubber with black DLC folding buckle</w:t>
      </w:r>
    </w:p>
    <w:p w14:paraId="110F6F6E" w14:textId="77777777" w:rsidR="00311014" w:rsidRPr="00AE6183" w:rsidRDefault="00311014" w:rsidP="00311014">
      <w:pPr>
        <w:spacing w:after="40" w:line="276" w:lineRule="auto"/>
        <w:rPr>
          <w:rFonts w:ascii="DINOT-Light" w:hAnsi="DINOT-Light" w:cs="Arial"/>
          <w:sz w:val="18"/>
          <w:szCs w:val="20"/>
          <w:lang w:val="en-GB"/>
        </w:rPr>
      </w:pPr>
      <w:r w:rsidRPr="00AE6183">
        <w:rPr>
          <w:rFonts w:ascii="DINOT-Light" w:hAnsi="DINOT-Light" w:cs="Arial"/>
          <w:sz w:val="18"/>
          <w:szCs w:val="20"/>
          <w:lang w:val="en-GB"/>
        </w:rPr>
        <w:t>Also available on black rubber with black alligator leather coating (27.00.2218.582)</w:t>
      </w:r>
    </w:p>
    <w:p w14:paraId="18328968" w14:textId="77777777" w:rsidR="00311014" w:rsidRPr="00AE6183" w:rsidRDefault="00311014" w:rsidP="00311014">
      <w:pPr>
        <w:spacing w:after="40" w:line="276" w:lineRule="auto"/>
        <w:rPr>
          <w:rFonts w:ascii="DINOT-Light" w:hAnsi="DINOT-Light" w:cs="Arial"/>
          <w:sz w:val="18"/>
          <w:szCs w:val="20"/>
          <w:lang w:val="en-GB"/>
        </w:rPr>
      </w:pPr>
    </w:p>
    <w:p w14:paraId="65CE2854" w14:textId="77777777" w:rsidR="00311014" w:rsidRPr="00AE6183" w:rsidRDefault="00311014" w:rsidP="00311014">
      <w:pPr>
        <w:spacing w:after="40" w:line="276" w:lineRule="auto"/>
        <w:rPr>
          <w:rFonts w:ascii="DINOT-Light" w:hAnsi="DINOT-Light" w:cs="Arial"/>
          <w:sz w:val="18"/>
          <w:szCs w:val="20"/>
          <w:lang w:val="en-GB"/>
        </w:rPr>
      </w:pPr>
    </w:p>
    <w:p w14:paraId="30EE1EA5" w14:textId="77777777" w:rsidR="00311014" w:rsidRPr="004A07E9" w:rsidRDefault="00311014" w:rsidP="00311014">
      <w:pPr>
        <w:spacing w:after="40" w:line="276" w:lineRule="auto"/>
        <w:rPr>
          <w:rFonts w:asciiTheme="minorHAnsi" w:hAnsiTheme="minorHAnsi" w:cs="Arial"/>
          <w:sz w:val="18"/>
          <w:szCs w:val="20"/>
          <w:lang w:val="en-GB"/>
        </w:rPr>
      </w:pPr>
    </w:p>
    <w:p w14:paraId="2B8873CC" w14:textId="417BC602" w:rsidR="00A55BC3" w:rsidRPr="004A07E9" w:rsidRDefault="00A55BC3" w:rsidP="00311014">
      <w:pPr>
        <w:spacing w:line="360" w:lineRule="auto"/>
        <w:rPr>
          <w:rFonts w:asciiTheme="minorHAnsi" w:hAnsiTheme="minorHAnsi" w:cs="Arial"/>
          <w:sz w:val="16"/>
          <w:szCs w:val="16"/>
          <w:lang w:val="en-GB"/>
        </w:rPr>
      </w:pPr>
    </w:p>
    <w:sectPr w:rsidR="00A55BC3" w:rsidRPr="004A07E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3112" w14:textId="77777777" w:rsidR="00AA193D" w:rsidRDefault="00AA193D" w:rsidP="009D5829">
      <w:r>
        <w:separator/>
      </w:r>
    </w:p>
  </w:endnote>
  <w:endnote w:type="continuationSeparator" w:id="0">
    <w:p w14:paraId="179D01D1" w14:textId="77777777" w:rsidR="00AA193D" w:rsidRDefault="00AA193D"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DINOT-Light">
    <w:panose1 w:val="020B0504020101010102"/>
    <w:charset w:val="00"/>
    <w:family w:val="swiss"/>
    <w:notTrueType/>
    <w:pitch w:val="variable"/>
    <w:sig w:usb0="800000EF" w:usb1="4000A47B"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B64129" w:rsidRDefault="00AA193D" w:rsidP="009D5829">
    <w:pPr>
      <w:pStyle w:val="Pieddepage"/>
      <w:jc w:val="center"/>
      <w:rPr>
        <w:rFonts w:asciiTheme="minorHAnsi" w:hAnsiTheme="minorHAnsi"/>
        <w:sz w:val="18"/>
        <w:szCs w:val="18"/>
        <w:lang w:val="fr-CH"/>
      </w:rPr>
    </w:pPr>
    <w:r w:rsidRPr="00B64129">
      <w:rPr>
        <w:rFonts w:asciiTheme="minorHAnsi" w:hAnsiTheme="minorHAnsi"/>
        <w:b/>
        <w:sz w:val="18"/>
        <w:szCs w:val="18"/>
        <w:lang w:val="fr-CH"/>
      </w:rPr>
      <w:t>ZENITH</w:t>
    </w:r>
    <w:r w:rsidRPr="00B64129">
      <w:rPr>
        <w:rFonts w:asciiTheme="minorHAnsi" w:hAnsiTheme="minorHAnsi"/>
        <w:sz w:val="18"/>
        <w:szCs w:val="18"/>
        <w:lang w:val="fr-CH"/>
      </w:rPr>
      <w:t xml:space="preserve"> | www.zenith-watches.com | Rue des </w:t>
    </w:r>
    <w:proofErr w:type="spellStart"/>
    <w:r w:rsidRPr="00B64129">
      <w:rPr>
        <w:rFonts w:asciiTheme="minorHAnsi" w:hAnsiTheme="minorHAnsi"/>
        <w:sz w:val="18"/>
        <w:szCs w:val="18"/>
        <w:lang w:val="fr-CH"/>
      </w:rPr>
      <w:t>Billodes</w:t>
    </w:r>
    <w:proofErr w:type="spellEnd"/>
    <w:r w:rsidRPr="00B64129">
      <w:rPr>
        <w:rFonts w:asciiTheme="minorHAnsi" w:hAnsiTheme="minorHAnsi"/>
        <w:sz w:val="18"/>
        <w:szCs w:val="18"/>
        <w:lang w:val="fr-CH"/>
      </w:rPr>
      <w:t xml:space="preserve"> 34-36 | CH-2400 Le Locle</w:t>
    </w:r>
  </w:p>
  <w:p w14:paraId="38FF8B1F" w14:textId="77777777" w:rsidR="00AA193D" w:rsidRPr="00B64129" w:rsidRDefault="00AA193D" w:rsidP="009D5829">
    <w:pPr>
      <w:pStyle w:val="Pieddepage"/>
      <w:jc w:val="center"/>
      <w:rPr>
        <w:rFonts w:asciiTheme="minorHAnsi" w:hAnsiTheme="minorHAnsi"/>
        <w:sz w:val="18"/>
        <w:szCs w:val="18"/>
      </w:rPr>
    </w:pPr>
    <w:r w:rsidRPr="00B64129">
      <w:rPr>
        <w:rFonts w:asciiTheme="minorHAnsi" w:hAnsiTheme="minorHAnsi"/>
        <w:sz w:val="18"/>
        <w:szCs w:val="18"/>
        <w:lang w:val="fr-CH"/>
      </w:rPr>
      <w:t xml:space="preserve">International Media Relations : Minh-Tan Bui – Email : </w:t>
    </w:r>
    <w:hyperlink r:id="rId1" w:history="1">
      <w:r w:rsidRPr="00B64129">
        <w:rPr>
          <w:rStyle w:val="Lienhypertexte"/>
          <w:rFonts w:asciiTheme="minorHAnsi" w:hAnsiTheme="minorHAnsi"/>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29ED" w14:textId="77777777" w:rsidR="00AA193D" w:rsidRDefault="00AA193D" w:rsidP="009D5829">
      <w:r>
        <w:separator/>
      </w:r>
    </w:p>
  </w:footnote>
  <w:footnote w:type="continuationSeparator" w:id="0">
    <w:p w14:paraId="6D69A4A1" w14:textId="77777777" w:rsidR="00AA193D" w:rsidRDefault="00AA193D"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87D" w14:textId="45AE0FDA" w:rsidR="00AA193D" w:rsidRDefault="00AA193D" w:rsidP="00A91380">
    <w:pPr>
      <w:pStyle w:val="En-tte"/>
      <w:spacing w:after="360"/>
      <w:jc w:val="center"/>
    </w:pPr>
    <w:r>
      <w:t xml:space="preserve"> </w:t>
    </w:r>
  </w:p>
  <w:p w14:paraId="41A2F496" w14:textId="77777777" w:rsidR="00AA193D" w:rsidRDefault="00AA193D" w:rsidP="00A91380">
    <w:pPr>
      <w:pStyle w:val="En-tte"/>
      <w:spacing w:after="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29"/>
    <w:rsid w:val="000030CF"/>
    <w:rsid w:val="00016E3A"/>
    <w:rsid w:val="00037CA0"/>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555B9"/>
    <w:rsid w:val="00163138"/>
    <w:rsid w:val="00166861"/>
    <w:rsid w:val="00170906"/>
    <w:rsid w:val="001709B3"/>
    <w:rsid w:val="00170FE7"/>
    <w:rsid w:val="00172E24"/>
    <w:rsid w:val="00185796"/>
    <w:rsid w:val="00187454"/>
    <w:rsid w:val="00187D76"/>
    <w:rsid w:val="00191493"/>
    <w:rsid w:val="0019435E"/>
    <w:rsid w:val="001A21CB"/>
    <w:rsid w:val="001B1BF2"/>
    <w:rsid w:val="001C0035"/>
    <w:rsid w:val="001C1E5C"/>
    <w:rsid w:val="001D5900"/>
    <w:rsid w:val="001E23A5"/>
    <w:rsid w:val="001E30E3"/>
    <w:rsid w:val="001E5C3B"/>
    <w:rsid w:val="001F3C7D"/>
    <w:rsid w:val="0020455F"/>
    <w:rsid w:val="002208FE"/>
    <w:rsid w:val="0022340D"/>
    <w:rsid w:val="00224784"/>
    <w:rsid w:val="00231A2C"/>
    <w:rsid w:val="00245987"/>
    <w:rsid w:val="00263A7A"/>
    <w:rsid w:val="00276EB8"/>
    <w:rsid w:val="002A047D"/>
    <w:rsid w:val="002A4FCF"/>
    <w:rsid w:val="002A519A"/>
    <w:rsid w:val="002A741E"/>
    <w:rsid w:val="002B0F09"/>
    <w:rsid w:val="002C5397"/>
    <w:rsid w:val="002E18F5"/>
    <w:rsid w:val="002E3116"/>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47DE"/>
    <w:rsid w:val="004A07E9"/>
    <w:rsid w:val="004B579F"/>
    <w:rsid w:val="004C0638"/>
    <w:rsid w:val="004C408A"/>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C4FA6"/>
    <w:rsid w:val="005C58DE"/>
    <w:rsid w:val="005D0B4C"/>
    <w:rsid w:val="005D2661"/>
    <w:rsid w:val="005F0E07"/>
    <w:rsid w:val="005F4186"/>
    <w:rsid w:val="005F729E"/>
    <w:rsid w:val="005F7821"/>
    <w:rsid w:val="0061562E"/>
    <w:rsid w:val="006178BE"/>
    <w:rsid w:val="00621A1C"/>
    <w:rsid w:val="006222E7"/>
    <w:rsid w:val="006327F2"/>
    <w:rsid w:val="00640AF3"/>
    <w:rsid w:val="00673449"/>
    <w:rsid w:val="00690C94"/>
    <w:rsid w:val="00696072"/>
    <w:rsid w:val="006A0098"/>
    <w:rsid w:val="006A1ADA"/>
    <w:rsid w:val="006A259A"/>
    <w:rsid w:val="006A5A34"/>
    <w:rsid w:val="006A632D"/>
    <w:rsid w:val="006B4ADC"/>
    <w:rsid w:val="006C2DD2"/>
    <w:rsid w:val="006E2DC6"/>
    <w:rsid w:val="006E7B46"/>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E3FB1"/>
    <w:rsid w:val="00AE6183"/>
    <w:rsid w:val="00AF1490"/>
    <w:rsid w:val="00B0161A"/>
    <w:rsid w:val="00B0643A"/>
    <w:rsid w:val="00B108D7"/>
    <w:rsid w:val="00B10E2A"/>
    <w:rsid w:val="00B13656"/>
    <w:rsid w:val="00B13868"/>
    <w:rsid w:val="00B27AF5"/>
    <w:rsid w:val="00B3152C"/>
    <w:rsid w:val="00B37B08"/>
    <w:rsid w:val="00B40DB1"/>
    <w:rsid w:val="00B42BF1"/>
    <w:rsid w:val="00B46531"/>
    <w:rsid w:val="00B5406F"/>
    <w:rsid w:val="00B64129"/>
    <w:rsid w:val="00B652F2"/>
    <w:rsid w:val="00B72BD4"/>
    <w:rsid w:val="00B73A3C"/>
    <w:rsid w:val="00B83A48"/>
    <w:rsid w:val="00B857FD"/>
    <w:rsid w:val="00BA505E"/>
    <w:rsid w:val="00BA68FE"/>
    <w:rsid w:val="00BB06C7"/>
    <w:rsid w:val="00BB54AC"/>
    <w:rsid w:val="00BB6E38"/>
    <w:rsid w:val="00BB7ACA"/>
    <w:rsid w:val="00BC28B7"/>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85653"/>
    <w:rsid w:val="00C95DCD"/>
    <w:rsid w:val="00CB2EBC"/>
    <w:rsid w:val="00CB53AD"/>
    <w:rsid w:val="00CC049F"/>
    <w:rsid w:val="00CC666E"/>
    <w:rsid w:val="00CD4EC6"/>
    <w:rsid w:val="00CE1767"/>
    <w:rsid w:val="00CE3E5F"/>
    <w:rsid w:val="00CE41B2"/>
    <w:rsid w:val="00CE63AF"/>
    <w:rsid w:val="00CF61CE"/>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C691C"/>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21258"/>
    <w:rsid w:val="00F243F7"/>
    <w:rsid w:val="00F25270"/>
    <w:rsid w:val="00F40E8E"/>
    <w:rsid w:val="00F442D9"/>
    <w:rsid w:val="00F5368B"/>
    <w:rsid w:val="00F55E0D"/>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10</cp:revision>
  <cp:lastPrinted>2018-11-20T10:55:00Z</cp:lastPrinted>
  <dcterms:created xsi:type="dcterms:W3CDTF">2018-11-21T11:43:00Z</dcterms:created>
  <dcterms:modified xsi:type="dcterms:W3CDTF">2018-12-05T14:16:00Z</dcterms:modified>
</cp:coreProperties>
</file>