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6A41" w14:textId="1FCC06D1" w:rsidR="00595A73" w:rsidRPr="00AE6183" w:rsidRDefault="004C0638" w:rsidP="00AE6183">
      <w:pPr>
        <w:spacing w:line="276" w:lineRule="auto"/>
        <w:jc w:val="both"/>
        <w:rPr>
          <w:rFonts w:ascii="DINOT" w:eastAsia="Arial" w:hAnsi="DINOT" w:cs="Arial"/>
          <w:b/>
          <w:sz w:val="20"/>
          <w:szCs w:val="20"/>
        </w:rPr>
      </w:pPr>
      <w:r>
        <w:rPr>
          <w:rFonts w:ascii="DINOT" w:hAnsi="DINOT" w:cs="Arial"/>
          <w:b/>
          <w:noProof/>
          <w:sz w:val="20"/>
          <w:lang w:val="fr-CH" w:eastAsia="ja-JP"/>
        </w:rPr>
        <w:drawing>
          <wp:anchor distT="0" distB="0" distL="114300" distR="114300" simplePos="0" relativeHeight="251654656" behindDoc="1" locked="0" layoutInCell="1" allowOverlap="1" wp14:anchorId="115D748D" wp14:editId="091E0A81">
            <wp:simplePos x="0" y="0"/>
            <wp:positionH relativeFrom="column">
              <wp:posOffset>2102197</wp:posOffset>
            </wp:positionH>
            <wp:positionV relativeFrom="paragraph">
              <wp:posOffset>-825600</wp:posOffset>
            </wp:positionV>
            <wp:extent cx="1552575" cy="684297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032090" w14:textId="77777777" w:rsidR="00B00871" w:rsidRPr="00A76C9C" w:rsidRDefault="00AE6183" w:rsidP="00A76C9C">
      <w:pPr>
        <w:spacing w:line="276" w:lineRule="auto"/>
        <w:jc w:val="center"/>
        <w:rPr>
          <w:rFonts w:ascii="DINOT-Light" w:hAnsi="DINOT-Light"/>
          <w:b/>
          <w:sz w:val="20"/>
        </w:rPr>
      </w:pPr>
      <w:r w:rsidRPr="00A76C9C">
        <w:rPr>
          <w:rFonts w:ascii="DINOT-Light" w:hAnsi="DINOT-Light"/>
          <w:b/>
        </w:rPr>
        <w:t>DEFY CLASSIC BLACK CERAMIC</w:t>
      </w:r>
    </w:p>
    <w:p w14:paraId="31C38C50" w14:textId="6A158102" w:rsidR="00AE6183" w:rsidRPr="004225F6" w:rsidRDefault="00AE6183" w:rsidP="00A76C9C">
      <w:pPr>
        <w:spacing w:line="276" w:lineRule="auto"/>
        <w:jc w:val="center"/>
        <w:rPr>
          <w:rFonts w:ascii="DINOT-Light" w:hAnsi="DINOT-Light"/>
          <w:sz w:val="18"/>
        </w:rPr>
      </w:pPr>
      <w:r w:rsidRPr="004225F6">
        <w:rPr>
          <w:rFonts w:ascii="DINOT-Light" w:hAnsi="DINOT-Light"/>
          <w:b/>
          <w:sz w:val="20"/>
        </w:rPr>
        <w:t>Più nero. Più audace. Provocatorio.</w:t>
      </w:r>
    </w:p>
    <w:p w14:paraId="3837039C" w14:textId="77777777" w:rsidR="00AE6183" w:rsidRPr="004225F6" w:rsidRDefault="00AE6183" w:rsidP="00AE6183">
      <w:pPr>
        <w:spacing w:after="120" w:line="276" w:lineRule="auto"/>
        <w:jc w:val="both"/>
        <w:rPr>
          <w:rFonts w:ascii="DINOT-Light" w:hAnsi="DINOT-Light"/>
          <w:sz w:val="22"/>
        </w:rPr>
      </w:pPr>
    </w:p>
    <w:p w14:paraId="343B05E0" w14:textId="77777777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b/>
          <w:sz w:val="18"/>
        </w:rPr>
        <w:t xml:space="preserve">Stile e sostanza si coniugano armoniosamente nel nuovo DEFY Classic Black </w:t>
      </w:r>
      <w:proofErr w:type="spellStart"/>
      <w:r>
        <w:rPr>
          <w:rFonts w:ascii="DINOT-Light" w:hAnsi="DINOT-Light"/>
          <w:b/>
          <w:sz w:val="18"/>
        </w:rPr>
        <w:t>Ceramic</w:t>
      </w:r>
      <w:proofErr w:type="spellEnd"/>
      <w:r>
        <w:rPr>
          <w:rFonts w:ascii="DINOT-Light" w:hAnsi="DINOT-Light"/>
          <w:b/>
          <w:sz w:val="18"/>
        </w:rPr>
        <w:t xml:space="preserve">, il primo modello della collezione DEFY Classic realizzato in questo materiale durissimo e intrinsecamente nero. L'affascinante esibizione della micromeccanica e le prestazioni superlative, diventate ormai sinonimo della manifattura Zenith, conferiscono al DEFY Classic Black </w:t>
      </w:r>
      <w:proofErr w:type="spellStart"/>
      <w:r>
        <w:rPr>
          <w:rFonts w:ascii="DINOT-Light" w:hAnsi="DINOT-Light"/>
          <w:b/>
          <w:sz w:val="18"/>
        </w:rPr>
        <w:t>Ceramic</w:t>
      </w:r>
      <w:proofErr w:type="spellEnd"/>
      <w:r>
        <w:rPr>
          <w:rFonts w:ascii="DINOT-Light" w:hAnsi="DINOT-Light"/>
          <w:b/>
          <w:sz w:val="18"/>
        </w:rPr>
        <w:t xml:space="preserve"> uno stile metropolitano molto attuale.</w:t>
      </w:r>
    </w:p>
    <w:p w14:paraId="2E352328" w14:textId="77777777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sz w:val="18"/>
          <w:szCs w:val="20"/>
        </w:rPr>
      </w:pPr>
    </w:p>
    <w:p w14:paraId="22759646" w14:textId="575D37DE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Una silhouette sensazionale</w:t>
      </w:r>
    </w:p>
    <w:p w14:paraId="11360FF6" w14:textId="250B9116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</w:rPr>
        <w:t xml:space="preserve">Il DEFY Classic si è imposto come </w:t>
      </w:r>
      <w:r w:rsidR="00F32D9B">
        <w:rPr>
          <w:rFonts w:ascii="DINOT-Light" w:hAnsi="DINOT-Light"/>
          <w:sz w:val="18"/>
        </w:rPr>
        <w:t>l’</w:t>
      </w:r>
      <w:r w:rsidR="00A76C9C">
        <w:rPr>
          <w:rFonts w:ascii="DINOT-Light" w:hAnsi="DINOT-Light"/>
          <w:sz w:val="18"/>
        </w:rPr>
        <w:t>espressione</w:t>
      </w:r>
      <w:r>
        <w:rPr>
          <w:rFonts w:ascii="DINOT-Light" w:hAnsi="DINOT-Light"/>
          <w:sz w:val="18"/>
        </w:rPr>
        <w:t xml:space="preserve"> </w:t>
      </w:r>
      <w:r w:rsidR="00F32D9B">
        <w:rPr>
          <w:rFonts w:ascii="DINOT-Light" w:hAnsi="DINOT-Light"/>
          <w:sz w:val="18"/>
        </w:rPr>
        <w:t xml:space="preserve">di </w:t>
      </w:r>
      <w:r>
        <w:rPr>
          <w:rFonts w:ascii="DINOT-Light" w:hAnsi="DINOT-Light"/>
          <w:sz w:val="18"/>
        </w:rPr>
        <w:t xml:space="preserve">Zenith dell'orologeria neo-futuristica nella sua forma più pura. Con il DEFY Classic Black </w:t>
      </w:r>
      <w:proofErr w:type="spellStart"/>
      <w:r>
        <w:rPr>
          <w:rFonts w:ascii="DINOT-Light" w:hAnsi="DINOT-Light"/>
          <w:sz w:val="18"/>
        </w:rPr>
        <w:t>Ceramic</w:t>
      </w:r>
      <w:proofErr w:type="spellEnd"/>
      <w:r>
        <w:rPr>
          <w:rFonts w:ascii="DINOT-Light" w:hAnsi="DINOT-Light"/>
          <w:sz w:val="18"/>
        </w:rPr>
        <w:t>, le sue caratteristiche tipiche si concretizzano nei colori scuri dalle raffinate sfumature e nel senso del volume che trasmettono la sua geometria equilibrata e la sua architettura unica e visionaria, sia dentro che fuori.</w:t>
      </w:r>
    </w:p>
    <w:p w14:paraId="35EAA80A" w14:textId="2F38FF70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sz w:val="18"/>
        </w:rPr>
        <w:t>Realizzata in resistente ceramica nera a base di ossido di zirconio, la cassa sfaccettata da 41 mm del DEFY Classic presenta un'alternanza di superfici lucide e satinate che ne esaltano la struttura geometrica e la contemporaneità, richiamando la collezione Zenith DEFY originale, presentata per la prima volta negli anni settanta. La silhouette spigolosa della c</w:t>
      </w:r>
      <w:r w:rsidR="00A76C9C">
        <w:rPr>
          <w:rFonts w:ascii="DINOT-Light" w:hAnsi="DINOT-Light"/>
          <w:sz w:val="18"/>
        </w:rPr>
        <w:t xml:space="preserve">assa è ammorbidita dalla </w:t>
      </w:r>
      <w:commentRangeStart w:id="0"/>
      <w:r w:rsidR="00F32D9B">
        <w:rPr>
          <w:rFonts w:ascii="DINOT-Light" w:hAnsi="DINOT-Light"/>
          <w:sz w:val="18"/>
        </w:rPr>
        <w:t>ghiera</w:t>
      </w:r>
      <w:commentRangeEnd w:id="0"/>
      <w:r w:rsidR="00F32D9B">
        <w:rPr>
          <w:rStyle w:val="Marquedecommentaire"/>
        </w:rPr>
        <w:commentReference w:id="0"/>
      </w:r>
      <w:r>
        <w:rPr>
          <w:rFonts w:ascii="DINOT-Light" w:hAnsi="DINOT-Light"/>
          <w:sz w:val="18"/>
        </w:rPr>
        <w:t xml:space="preserve"> perfettamente circolare che la sovrasta.</w:t>
      </w:r>
    </w:p>
    <w:p w14:paraId="65FBF3D6" w14:textId="77777777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b/>
          <w:sz w:val="18"/>
          <w:szCs w:val="20"/>
        </w:rPr>
      </w:pPr>
    </w:p>
    <w:p w14:paraId="658A309F" w14:textId="43C48A57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Nero e stellare</w:t>
      </w:r>
    </w:p>
    <w:p w14:paraId="6FC60C16" w14:textId="5389B84D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</w:rPr>
        <w:t xml:space="preserve">Il punto di forza del DEFY Classic Black </w:t>
      </w:r>
      <w:proofErr w:type="spellStart"/>
      <w:r>
        <w:rPr>
          <w:rFonts w:ascii="DINOT-Light" w:hAnsi="DINOT-Light"/>
          <w:sz w:val="18"/>
        </w:rPr>
        <w:t>Ceramic</w:t>
      </w:r>
      <w:proofErr w:type="spellEnd"/>
      <w:r>
        <w:rPr>
          <w:rFonts w:ascii="DINOT-Light" w:hAnsi="DINOT-Light"/>
          <w:sz w:val="18"/>
        </w:rPr>
        <w:t xml:space="preserve"> è il suo innovativo quadrante scheletrato. L'elemento multistrato assume una forma a stella con angoli ultramoderni e fonde armoniosamente il suo display neoterico con il movimento.</w:t>
      </w:r>
    </w:p>
    <w:p w14:paraId="26D78D45" w14:textId="1ACE19F2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sz w:val="18"/>
        </w:rPr>
        <w:t>Alla luce del giorno, le lancette sfaccettate e gli indici applicati sembrano un tutt'uno con l'insieme brunito del quadrante scheletrato e le parti visibili del movimento, con le loro superfici lucide trattate al rutenio che luccicano nell'oscurità, offrendo una sorprendente leggibilità. Di notte, il rivestimento in Super-</w:t>
      </w:r>
      <w:proofErr w:type="spellStart"/>
      <w:r>
        <w:rPr>
          <w:rFonts w:ascii="DINOT-Light" w:hAnsi="DINOT-Light"/>
          <w:sz w:val="18"/>
        </w:rPr>
        <w:t>LumiNova</w:t>
      </w:r>
      <w:proofErr w:type="spellEnd"/>
      <w:r>
        <w:rPr>
          <w:rFonts w:ascii="DINOT-Light" w:hAnsi="DINOT-Light"/>
          <w:sz w:val="18"/>
        </w:rPr>
        <w:t xml:space="preserve">® SLN C1 emette un tenue bagliore verde che ricorda le luci notturne di una città che non dorme mai. </w:t>
      </w:r>
    </w:p>
    <w:p w14:paraId="64D0E67A" w14:textId="77777777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b/>
          <w:sz w:val="18"/>
          <w:szCs w:val="20"/>
        </w:rPr>
      </w:pPr>
    </w:p>
    <w:p w14:paraId="6095B60D" w14:textId="5C0FCA4D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Forma e funzione si fondono</w:t>
      </w:r>
    </w:p>
    <w:p w14:paraId="23BEFD8F" w14:textId="213A03A1" w:rsidR="00AE6183" w:rsidRPr="00975080" w:rsidRDefault="00AE6183" w:rsidP="00AE6183">
      <w:pPr>
        <w:spacing w:after="12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sz w:val="18"/>
        </w:rPr>
        <w:t xml:space="preserve">Visibile attraverso il quadrante scheletrato e il fondello zaffiro del DEFY Classic, il movimento automatico di manifattura </w:t>
      </w:r>
      <w:proofErr w:type="spellStart"/>
      <w:r>
        <w:rPr>
          <w:rFonts w:ascii="DINOT-Light" w:hAnsi="DINOT-Light"/>
          <w:sz w:val="18"/>
        </w:rPr>
        <w:t>Elite</w:t>
      </w:r>
      <w:proofErr w:type="spellEnd"/>
      <w:r>
        <w:rPr>
          <w:rFonts w:ascii="DINOT-Light" w:hAnsi="DINOT-Light"/>
          <w:sz w:val="18"/>
        </w:rPr>
        <w:t xml:space="preserve"> 670 batte con infallibile precisione. Il calibro </w:t>
      </w:r>
      <w:proofErr w:type="spellStart"/>
      <w:r>
        <w:rPr>
          <w:rFonts w:ascii="DINOT-Light" w:hAnsi="DINOT-Light"/>
          <w:sz w:val="18"/>
        </w:rPr>
        <w:t>Elite</w:t>
      </w:r>
      <w:proofErr w:type="spellEnd"/>
      <w:r>
        <w:rPr>
          <w:rFonts w:ascii="DINOT-Light" w:hAnsi="DINOT-Light"/>
          <w:sz w:val="18"/>
        </w:rPr>
        <w:t xml:space="preserve">, da decenni uno dei movimenti base della gamma Zenith, si presenta per la prima volta scheletrato nel DEFY Classic. Tutta la sua anatomia è stata ripensata – non solo esteticamente, con i ponti aperti e rivisitati con finiture all'avanguardia – ma anche dal punto di vista delle prestazioni: il calibro </w:t>
      </w:r>
      <w:proofErr w:type="spellStart"/>
      <w:r>
        <w:rPr>
          <w:rFonts w:ascii="DINOT-Light" w:hAnsi="DINOT-Light"/>
          <w:sz w:val="18"/>
        </w:rPr>
        <w:t>Elite</w:t>
      </w:r>
      <w:proofErr w:type="spellEnd"/>
      <w:r>
        <w:rPr>
          <w:rFonts w:ascii="DINOT-Light" w:hAnsi="DINOT-Light"/>
          <w:sz w:val="18"/>
        </w:rPr>
        <w:t xml:space="preserve"> del DEFY Classic presenta infatti ruota di scappamento e ancora in silicio.</w:t>
      </w:r>
    </w:p>
    <w:p w14:paraId="1C619983" w14:textId="77777777" w:rsidR="006868F9" w:rsidRDefault="00AE6183" w:rsidP="00311014">
      <w:pPr>
        <w:spacing w:after="120" w:line="276" w:lineRule="auto"/>
        <w:jc w:val="both"/>
        <w:rPr>
          <w:rFonts w:ascii="DINOT-Light" w:hAnsi="DINOT-Light"/>
          <w:sz w:val="20"/>
        </w:rPr>
      </w:pPr>
      <w:r>
        <w:rPr>
          <w:rFonts w:ascii="DINOT-Light" w:hAnsi="DINOT-Light"/>
          <w:sz w:val="18"/>
        </w:rPr>
        <w:t xml:space="preserve">Il DEFY Classic Black </w:t>
      </w:r>
      <w:proofErr w:type="spellStart"/>
      <w:r>
        <w:rPr>
          <w:rFonts w:ascii="DINOT-Light" w:hAnsi="DINOT-Light"/>
          <w:sz w:val="18"/>
        </w:rPr>
        <w:t>Ceramic</w:t>
      </w:r>
      <w:proofErr w:type="spellEnd"/>
      <w:r>
        <w:rPr>
          <w:rFonts w:ascii="DINOT-Light" w:hAnsi="DINOT-Light"/>
          <w:sz w:val="18"/>
        </w:rPr>
        <w:t xml:space="preserve"> è completato da un cinturino in caucciù nero </w:t>
      </w:r>
      <w:proofErr w:type="spellStart"/>
      <w:r>
        <w:rPr>
          <w:rFonts w:ascii="DINOT-Light" w:hAnsi="DINOT-Light"/>
          <w:sz w:val="18"/>
        </w:rPr>
        <w:t>unistructure</w:t>
      </w:r>
      <w:proofErr w:type="spellEnd"/>
      <w:r>
        <w:rPr>
          <w:rFonts w:ascii="DINOT-Light" w:hAnsi="DINOT-Light"/>
          <w:sz w:val="18"/>
        </w:rPr>
        <w:t xml:space="preserve"> perfettamente integrato ai contorni della cassa, che segue le linee strutturate di quadrante e movimento conferendo all'orologio un'eleganza sportiva e disinvolta e offrendo un comfort ottimale in tutte le situazioni in cui può trovarsi un esploratore metropolitano</w:t>
      </w:r>
      <w:r>
        <w:rPr>
          <w:rFonts w:ascii="DINOT-Light" w:hAnsi="DINOT-Light"/>
          <w:sz w:val="20"/>
        </w:rPr>
        <w:t>.</w:t>
      </w:r>
    </w:p>
    <w:p w14:paraId="43A5B5F2" w14:textId="0D69E5F4" w:rsidR="006868F9" w:rsidRDefault="00686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hAnsi="DINOT-Light"/>
          <w:sz w:val="20"/>
        </w:rPr>
      </w:pPr>
      <w:r>
        <w:rPr>
          <w:rFonts w:ascii="DINOT-Light" w:hAnsi="DINOT-Light"/>
          <w:sz w:val="20"/>
        </w:rPr>
        <w:br w:type="page"/>
      </w:r>
    </w:p>
    <w:p w14:paraId="32A77AE3" w14:textId="5C4AC59A" w:rsidR="006868F9" w:rsidRDefault="006868F9" w:rsidP="00311014">
      <w:pPr>
        <w:spacing w:after="120" w:line="276" w:lineRule="auto"/>
        <w:jc w:val="both"/>
        <w:rPr>
          <w:rFonts w:ascii="DINOT-Light" w:hAnsi="DINOT-Light"/>
          <w:sz w:val="20"/>
        </w:rPr>
      </w:pPr>
      <w:r>
        <w:rPr>
          <w:rFonts w:ascii="DINOT" w:hAnsi="DINOT" w:cs="Arial"/>
          <w:b/>
          <w:noProof/>
          <w:sz w:val="20"/>
          <w:lang w:val="fr-CH" w:eastAsia="ja-JP"/>
        </w:rPr>
        <w:lastRenderedPageBreak/>
        <w:drawing>
          <wp:anchor distT="0" distB="0" distL="114300" distR="114300" simplePos="0" relativeHeight="251665920" behindDoc="0" locked="0" layoutInCell="1" allowOverlap="1" wp14:anchorId="3B8B8993" wp14:editId="78C59291">
            <wp:simplePos x="0" y="0"/>
            <wp:positionH relativeFrom="margin">
              <wp:posOffset>2102197</wp:posOffset>
            </wp:positionH>
            <wp:positionV relativeFrom="paragraph">
              <wp:posOffset>-816973</wp:posOffset>
            </wp:positionV>
            <wp:extent cx="1552575" cy="684297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41E5CC" w14:textId="77777777" w:rsidR="006868F9" w:rsidRPr="006868F9" w:rsidRDefault="006868F9" w:rsidP="006868F9">
      <w:pPr>
        <w:spacing w:after="120" w:line="276" w:lineRule="auto"/>
        <w:jc w:val="both"/>
        <w:rPr>
          <w:rFonts w:ascii="DINOT-Light" w:hAnsi="DINOT-Light"/>
          <w:b/>
          <w:sz w:val="18"/>
        </w:rPr>
      </w:pPr>
      <w:r w:rsidRPr="006868F9">
        <w:rPr>
          <w:rFonts w:ascii="DINOT-Light" w:hAnsi="DINOT-Light"/>
          <w:b/>
          <w:sz w:val="18"/>
        </w:rPr>
        <w:t>ZENITH: il futuro dell'orologeria svizzera</w:t>
      </w:r>
    </w:p>
    <w:p w14:paraId="461997A1" w14:textId="77777777" w:rsidR="006868F9" w:rsidRPr="006868F9" w:rsidRDefault="006868F9" w:rsidP="006868F9">
      <w:pPr>
        <w:spacing w:after="120" w:line="276" w:lineRule="auto"/>
        <w:jc w:val="both"/>
        <w:rPr>
          <w:rFonts w:ascii="DINOT-Light" w:hAnsi="DINOT-Light"/>
          <w:sz w:val="18"/>
        </w:rPr>
      </w:pPr>
      <w:r w:rsidRPr="006868F9">
        <w:rPr>
          <w:rFonts w:ascii="DINOT-Light" w:hAnsi="DINOT-Light"/>
          <w:sz w:val="18"/>
        </w:rPr>
        <w:t xml:space="preserve">Fin dal 1865, Zenith è stata guidata da autenticità, intraprendenza e passione nella ridefinizione dei confini di eccellenza, precisione e innovazione. Poco dopo la sua fondazione a Le Locle da parte del visionario orologiaio Georges </w:t>
      </w:r>
      <w:proofErr w:type="spellStart"/>
      <w:r w:rsidRPr="006868F9">
        <w:rPr>
          <w:rFonts w:ascii="DINOT-Light" w:hAnsi="DINOT-Light"/>
          <w:sz w:val="18"/>
        </w:rPr>
        <w:t>Favre-Jacot</w:t>
      </w:r>
      <w:proofErr w:type="spellEnd"/>
      <w:r w:rsidRPr="006868F9">
        <w:rPr>
          <w:rFonts w:ascii="DINOT-Light" w:hAnsi="DINOT-Light"/>
          <w:sz w:val="18"/>
        </w:rPr>
        <w:t xml:space="preserve">, Zenith si è distinta per la precisione dei suoi cronometri, per i quali si è aggiudicata 2.333 premi di cronometria in poco più di un secolo e mezzo di esistenza: un record assoluto. Nota per il leggendario calibro El </w:t>
      </w:r>
      <w:proofErr w:type="spellStart"/>
      <w:r w:rsidRPr="006868F9">
        <w:rPr>
          <w:rFonts w:ascii="DINOT-Light" w:hAnsi="DINOT-Light"/>
          <w:sz w:val="18"/>
        </w:rPr>
        <w:t>Primero</w:t>
      </w:r>
      <w:proofErr w:type="spellEnd"/>
      <w:r w:rsidRPr="006868F9">
        <w:rPr>
          <w:rFonts w:ascii="DINOT-Light" w:hAnsi="DINOT-Light"/>
          <w:sz w:val="18"/>
        </w:rPr>
        <w:t xml:space="preserve"> del 1969, che garantisce una misura dei tempi brevi precisa a 1/10 di secondo, la Manifattura ha sviluppato da allora oltre 600 varianti di movimenti. Oggi, Zenith offre nuove e affascinanti possibilità per la misurazione del tempo, come il cronometraggio a 1/100 di secondo del </w:t>
      </w:r>
      <w:proofErr w:type="spellStart"/>
      <w:r w:rsidRPr="006868F9">
        <w:rPr>
          <w:rFonts w:ascii="DINOT-Light" w:hAnsi="DINOT-Light"/>
          <w:sz w:val="18"/>
        </w:rPr>
        <w:t>Defy</w:t>
      </w:r>
      <w:proofErr w:type="spellEnd"/>
      <w:r w:rsidRPr="006868F9">
        <w:rPr>
          <w:rFonts w:ascii="DINOT-Light" w:hAnsi="DINOT-Light"/>
          <w:sz w:val="18"/>
        </w:rPr>
        <w:t xml:space="preserve"> El </w:t>
      </w:r>
      <w:proofErr w:type="spellStart"/>
      <w:r w:rsidRPr="006868F9">
        <w:rPr>
          <w:rFonts w:ascii="DINOT-Light" w:hAnsi="DINOT-Light"/>
          <w:sz w:val="18"/>
        </w:rPr>
        <w:t>Primero</w:t>
      </w:r>
      <w:proofErr w:type="spellEnd"/>
      <w:r w:rsidRPr="006868F9">
        <w:rPr>
          <w:rFonts w:ascii="DINOT-Light" w:hAnsi="DINOT-Light"/>
          <w:sz w:val="18"/>
        </w:rPr>
        <w:t xml:space="preserve"> 21 e una nuova dimensione della precisione meccanica con l'orologio più preciso al mondo, il </w:t>
      </w:r>
      <w:proofErr w:type="spellStart"/>
      <w:r w:rsidRPr="006868F9">
        <w:rPr>
          <w:rFonts w:ascii="DINOT-Light" w:hAnsi="DINOT-Light"/>
          <w:sz w:val="18"/>
        </w:rPr>
        <w:t>Defy</w:t>
      </w:r>
      <w:proofErr w:type="spellEnd"/>
      <w:r w:rsidRPr="006868F9">
        <w:rPr>
          <w:rFonts w:ascii="DINOT-Light" w:hAnsi="DINOT-Light"/>
          <w:sz w:val="18"/>
        </w:rPr>
        <w:t xml:space="preserve"> Lab del XXI secolo. Stimolata dai legami oggi ancora più stretti con una gloriosa tradizione di pensiero dinamico e all'avanguardia, Zenith scrive il suo futuro… e il futuro dell'orologeria svizzera.</w:t>
      </w:r>
    </w:p>
    <w:p w14:paraId="69F6CB8C" w14:textId="674B0257" w:rsidR="00311014" w:rsidRPr="00AE6183" w:rsidRDefault="00AE6183" w:rsidP="00311014">
      <w:pPr>
        <w:spacing w:after="120" w:line="276" w:lineRule="auto"/>
        <w:jc w:val="both"/>
        <w:rPr>
          <w:rFonts w:ascii="DINOT-Light" w:hAnsi="DINOT-Light"/>
          <w:b/>
          <w:sz w:val="20"/>
          <w:szCs w:val="20"/>
        </w:rPr>
      </w:pPr>
      <w:r>
        <w:rPr>
          <w:rFonts w:asciiTheme="minorHAnsi" w:hAnsiTheme="minorHAnsi" w:cs="Arial"/>
          <w:sz w:val="20"/>
        </w:rPr>
        <w:br w:type="page"/>
      </w:r>
    </w:p>
    <w:p w14:paraId="791BAC81" w14:textId="179A01A2" w:rsidR="00311014" w:rsidRPr="00AE6183" w:rsidRDefault="00311014" w:rsidP="00311014">
      <w:pPr>
        <w:spacing w:line="276" w:lineRule="auto"/>
        <w:rPr>
          <w:rFonts w:ascii="DINOT-Light" w:hAnsi="DINOT-Light" w:cs="Arial"/>
          <w:b/>
          <w:szCs w:val="20"/>
        </w:rPr>
      </w:pPr>
      <w:bookmarkStart w:id="1" w:name="_GoBack"/>
      <w:r>
        <w:rPr>
          <w:rFonts w:asciiTheme="minorHAnsi" w:hAnsiTheme="minorHAnsi" w:cs="Arial"/>
          <w:b/>
          <w:noProof/>
          <w:sz w:val="20"/>
          <w:lang w:val="fr-CH" w:eastAsia="ja-JP"/>
        </w:rPr>
        <w:lastRenderedPageBreak/>
        <w:drawing>
          <wp:anchor distT="0" distB="0" distL="114300" distR="114300" simplePos="0" relativeHeight="251663872" behindDoc="1" locked="0" layoutInCell="1" allowOverlap="1" wp14:anchorId="445503D5" wp14:editId="4E143CC6">
            <wp:simplePos x="0" y="0"/>
            <wp:positionH relativeFrom="column">
              <wp:posOffset>2102197</wp:posOffset>
            </wp:positionH>
            <wp:positionV relativeFrom="paragraph">
              <wp:posOffset>-808347</wp:posOffset>
            </wp:positionV>
            <wp:extent cx="1552575" cy="684297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1"/>
    </w:p>
    <w:p w14:paraId="1D4AE1FD" w14:textId="0B36255A" w:rsidR="00311014" w:rsidRPr="00AE6183" w:rsidRDefault="00311014" w:rsidP="00311014">
      <w:pPr>
        <w:spacing w:after="120" w:line="276" w:lineRule="auto"/>
        <w:rPr>
          <w:rFonts w:ascii="DINOT-Light" w:hAnsi="DINOT-Light" w:cs="Arial"/>
          <w:b/>
          <w:szCs w:val="20"/>
          <w:bdr w:val="none" w:sz="0" w:space="0" w:color="auto"/>
        </w:rPr>
      </w:pPr>
      <w:r>
        <w:rPr>
          <w:rFonts w:ascii="DINOT-Light" w:hAnsi="DINOT-Light"/>
          <w:noProof/>
          <w:lang w:val="fr-CH" w:eastAsia="ja-JP"/>
        </w:rPr>
        <w:drawing>
          <wp:anchor distT="0" distB="0" distL="114300" distR="114300" simplePos="0" relativeHeight="251659776" behindDoc="0" locked="0" layoutInCell="1" allowOverlap="1" wp14:anchorId="1F2F3863" wp14:editId="2E0DD992">
            <wp:simplePos x="0" y="0"/>
            <wp:positionH relativeFrom="margin">
              <wp:align>right</wp:align>
            </wp:positionH>
            <wp:positionV relativeFrom="margin">
              <wp:posOffset>400050</wp:posOffset>
            </wp:positionV>
            <wp:extent cx="2294255" cy="3700145"/>
            <wp:effectExtent l="0" t="0" r="0" b="0"/>
            <wp:wrapSquare wrapText="bothSides"/>
            <wp:docPr id="7" name="Picture 8" descr="Y:\01. Projects\ZENITH\ZEN022 ZENITH Elite Skeleton\ZEN022ZV - Defy Classic Ceramic - Align to Prototype\CR\CR-ZEN022ZZV-02-01.png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6"/>
                    <a:stretch/>
                  </pic:blipFill>
                  <pic:spPr bwMode="auto">
                    <a:xfrm>
                      <a:off x="0" y="0"/>
                      <a:ext cx="229425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-Light" w:hAnsi="DINOT-Light" w:cs="Arial"/>
          <w:b/>
        </w:rPr>
        <w:t>DEFY CLASSIC BLACK CERAMIC</w:t>
      </w:r>
    </w:p>
    <w:p w14:paraId="5CCC6BD8" w14:textId="634FE5F7" w:rsidR="00311014" w:rsidRPr="00AE6183" w:rsidRDefault="00311014" w:rsidP="00311014">
      <w:pPr>
        <w:spacing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CARATTERISTICHE TECNICHE</w:t>
      </w:r>
    </w:p>
    <w:p w14:paraId="29521B81" w14:textId="77777777" w:rsidR="00311014" w:rsidRPr="00AE6183" w:rsidRDefault="00311014" w:rsidP="00311014">
      <w:pPr>
        <w:spacing w:line="276" w:lineRule="auto"/>
        <w:rPr>
          <w:rFonts w:ascii="DINOT-Light" w:hAnsi="DINOT-Light" w:cs="Arial"/>
          <w:sz w:val="18"/>
          <w:szCs w:val="20"/>
        </w:rPr>
      </w:pPr>
    </w:p>
    <w:p w14:paraId="4DF5FC2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Referenza: 49.9000.670/</w:t>
      </w:r>
      <w:proofErr w:type="gramStart"/>
      <w:r>
        <w:rPr>
          <w:rFonts w:ascii="DINOT-Light" w:hAnsi="DINOT-Light" w:cs="Arial"/>
          <w:sz w:val="18"/>
        </w:rPr>
        <w:t>78.R</w:t>
      </w:r>
      <w:proofErr w:type="gramEnd"/>
      <w:r>
        <w:rPr>
          <w:rFonts w:ascii="DINOT-Light" w:hAnsi="DINOT-Light" w:cs="Arial"/>
          <w:sz w:val="18"/>
        </w:rPr>
        <w:t>782</w:t>
      </w:r>
    </w:p>
    <w:p w14:paraId="70D656C7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69CBF37F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 xml:space="preserve">PUNTI CHIAVE </w:t>
      </w:r>
    </w:p>
    <w:p w14:paraId="50493BDB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Movimento scheletrato </w:t>
      </w:r>
      <w:proofErr w:type="spellStart"/>
      <w:r>
        <w:rPr>
          <w:rFonts w:ascii="DINOT-Light" w:hAnsi="DINOT-Light" w:cs="Arial"/>
          <w:sz w:val="18"/>
        </w:rPr>
        <w:t>Elite</w:t>
      </w:r>
      <w:proofErr w:type="spellEnd"/>
      <w:r>
        <w:rPr>
          <w:rFonts w:ascii="DINOT-Light" w:hAnsi="DINOT-Light" w:cs="Arial"/>
          <w:sz w:val="18"/>
        </w:rPr>
        <w:t xml:space="preserve"> </w:t>
      </w:r>
    </w:p>
    <w:p w14:paraId="248A2FE7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NUOVA cassa in ceramica nera del diametro di 41 mm</w:t>
      </w:r>
    </w:p>
    <w:p w14:paraId="645C879C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Ruota di scappamento e ancora in silicio </w:t>
      </w:r>
    </w:p>
    <w:p w14:paraId="4CCB4B94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2E1F59CA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MOVIMENTO</w:t>
      </w:r>
    </w:p>
    <w:p w14:paraId="03C458E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proofErr w:type="spellStart"/>
      <w:r>
        <w:rPr>
          <w:rFonts w:ascii="DINOT-Light" w:hAnsi="DINOT-Light" w:cs="Arial"/>
          <w:sz w:val="18"/>
        </w:rPr>
        <w:t>Elite</w:t>
      </w:r>
      <w:proofErr w:type="spellEnd"/>
      <w:r>
        <w:rPr>
          <w:rFonts w:ascii="DINOT-Light" w:hAnsi="DINOT-Light" w:cs="Arial"/>
          <w:sz w:val="18"/>
        </w:rPr>
        <w:t xml:space="preserve"> 670 SK, Automatico</w:t>
      </w:r>
    </w:p>
    <w:p w14:paraId="1E924F96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Calibro: 11 ½``` (Diametro: 25,60 mm)</w:t>
      </w:r>
    </w:p>
    <w:p w14:paraId="6E03E888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Spessore del movimento: 3,88 mm</w:t>
      </w:r>
    </w:p>
    <w:p w14:paraId="26FCAEB5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Componenti: 187</w:t>
      </w:r>
    </w:p>
    <w:p w14:paraId="46C70EA0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Rubini: 27</w:t>
      </w:r>
    </w:p>
    <w:p w14:paraId="5D88E4CB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Riserva di carica: min. 48 ore</w:t>
      </w:r>
    </w:p>
    <w:p w14:paraId="67BE2353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Finitura: speciale massa oscillante con finitura spazzolata satinata</w:t>
      </w:r>
    </w:p>
    <w:p w14:paraId="045E105B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27A6276F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FUNZIONI</w:t>
      </w:r>
    </w:p>
    <w:p w14:paraId="2C43A5E4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Ore e minuti al centro</w:t>
      </w:r>
    </w:p>
    <w:p w14:paraId="3A3FEA2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Lancetta dei secondi al centro </w:t>
      </w:r>
    </w:p>
    <w:p w14:paraId="4105C6B6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Datario a ore 6</w:t>
      </w:r>
    </w:p>
    <w:p w14:paraId="15A4FBFA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56360B6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CASSA, QUADRANTE E LANCETTE</w:t>
      </w:r>
    </w:p>
    <w:p w14:paraId="00821D7B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Diametro: 41 mm</w:t>
      </w:r>
    </w:p>
    <w:p w14:paraId="1AB1B8CD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Apertura diametro: 32,5 mm</w:t>
      </w:r>
    </w:p>
    <w:p w14:paraId="2F0B3E08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Spessore: 10,75 mm</w:t>
      </w:r>
    </w:p>
    <w:p w14:paraId="5D5788AA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Vetro: vetro zaffiro bombato con trattamento antiriflesso sui due lati</w:t>
      </w:r>
    </w:p>
    <w:p w14:paraId="0222DC75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Fondello: vetro zaffiro trasparente</w:t>
      </w:r>
    </w:p>
    <w:p w14:paraId="0E702583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Materiale: Ceramica nera</w:t>
      </w:r>
    </w:p>
    <w:p w14:paraId="7F5BBE1F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Impermeabilità: 10 ATM</w:t>
      </w:r>
    </w:p>
    <w:p w14:paraId="7D99B08E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Quadrante: scheletrato </w:t>
      </w:r>
    </w:p>
    <w:p w14:paraId="0C173D30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Indici delle ore: placcati rutenio, sfaccettati e rivestiti di Super-</w:t>
      </w:r>
      <w:proofErr w:type="spellStart"/>
      <w:r>
        <w:rPr>
          <w:rFonts w:ascii="DINOT-Light" w:hAnsi="DINOT-Light" w:cs="Arial"/>
          <w:sz w:val="18"/>
        </w:rPr>
        <w:t>LumiNova</w:t>
      </w:r>
      <w:proofErr w:type="spellEnd"/>
      <w:r>
        <w:rPr>
          <w:rFonts w:ascii="DINOT-Light" w:hAnsi="DINOT-Light" w:cs="Arial"/>
          <w:sz w:val="18"/>
        </w:rPr>
        <w:t>® SLN C1</w:t>
      </w:r>
    </w:p>
    <w:p w14:paraId="729308D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Lancette: placcate rutenio, sfaccettate e rivestite di Super-</w:t>
      </w:r>
      <w:proofErr w:type="spellStart"/>
      <w:r>
        <w:rPr>
          <w:rFonts w:ascii="DINOT-Light" w:hAnsi="DINOT-Light" w:cs="Arial"/>
          <w:sz w:val="18"/>
        </w:rPr>
        <w:t>LumiNova</w:t>
      </w:r>
      <w:proofErr w:type="spellEnd"/>
      <w:r>
        <w:rPr>
          <w:rFonts w:ascii="DINOT-Light" w:hAnsi="DINOT-Light" w:cs="Arial"/>
          <w:sz w:val="18"/>
        </w:rPr>
        <w:t>® SLN C1</w:t>
      </w:r>
    </w:p>
    <w:p w14:paraId="0DC6247A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05721B30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CINTURINO E FIBBIA</w:t>
      </w:r>
    </w:p>
    <w:p w14:paraId="0589C32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Caucciù nero con fibbia </w:t>
      </w:r>
      <w:proofErr w:type="spellStart"/>
      <w:r>
        <w:rPr>
          <w:rFonts w:ascii="DINOT-Light" w:hAnsi="DINOT-Light" w:cs="Arial"/>
          <w:sz w:val="18"/>
        </w:rPr>
        <w:t>deployante</w:t>
      </w:r>
      <w:proofErr w:type="spellEnd"/>
      <w:r>
        <w:rPr>
          <w:rFonts w:ascii="DINOT-Light" w:hAnsi="DINOT-Light" w:cs="Arial"/>
          <w:sz w:val="18"/>
        </w:rPr>
        <w:t xml:space="preserve"> DLC nero</w:t>
      </w:r>
    </w:p>
    <w:p w14:paraId="110F6F6E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Disponibile anche in caucciù nero con rivestimento in alligatore nero (27.00.2218.582)</w:t>
      </w:r>
    </w:p>
    <w:p w14:paraId="18328968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65CE2854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0EE1EA5" w14:textId="77777777" w:rsidR="00311014" w:rsidRPr="004A07E9" w:rsidRDefault="00311014" w:rsidP="00311014">
      <w:pPr>
        <w:spacing w:after="40" w:line="276" w:lineRule="auto"/>
        <w:rPr>
          <w:rFonts w:asciiTheme="minorHAnsi" w:hAnsiTheme="minorHAnsi" w:cs="Arial"/>
          <w:sz w:val="18"/>
          <w:szCs w:val="20"/>
        </w:rPr>
      </w:pPr>
    </w:p>
    <w:sectPr w:rsidR="00311014" w:rsidRPr="004A07E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ttore Cappelli" w:date="2018-11-29T09:49:00Z" w:initials="EC">
    <w:p w14:paraId="3E52A783" w14:textId="64EEC921" w:rsidR="00F32D9B" w:rsidRPr="00F32D9B" w:rsidRDefault="00F32D9B">
      <w:pPr>
        <w:pStyle w:val="Commentaire"/>
        <w:rPr>
          <w:lang w:val="en-US"/>
        </w:rPr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52A78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52A783" w16cid:durableId="1FAA3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7622" w14:textId="77777777" w:rsidR="004B40C3" w:rsidRDefault="004B40C3" w:rsidP="009D5829">
      <w:r>
        <w:separator/>
      </w:r>
    </w:p>
  </w:endnote>
  <w:endnote w:type="continuationSeparator" w:id="0">
    <w:p w14:paraId="02E16DB9" w14:textId="77777777" w:rsidR="004B40C3" w:rsidRDefault="004B40C3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4225F6" w:rsidRDefault="00AA193D" w:rsidP="009D5829">
    <w:pPr>
      <w:pStyle w:val="Pieddepage"/>
      <w:jc w:val="center"/>
      <w:rPr>
        <w:rFonts w:asciiTheme="minorHAnsi" w:hAnsiTheme="minorHAnsi"/>
        <w:sz w:val="18"/>
        <w:szCs w:val="18"/>
        <w:lang w:val="fr-CH"/>
      </w:rPr>
    </w:pPr>
    <w:r w:rsidRPr="004225F6">
      <w:rPr>
        <w:rFonts w:asciiTheme="minorHAnsi" w:hAnsiTheme="minorHAnsi"/>
        <w:b/>
        <w:sz w:val="18"/>
        <w:lang w:val="fr-CH"/>
      </w:rPr>
      <w:t>ZENITH</w:t>
    </w:r>
    <w:r w:rsidRPr="004225F6">
      <w:rPr>
        <w:rFonts w:asciiTheme="minorHAnsi" w:hAnsiTheme="minorHAnsi"/>
        <w:sz w:val="18"/>
        <w:lang w:val="fr-CH"/>
      </w:rPr>
      <w:t xml:space="preserve"> | www.zenith-watches.com | Rue des </w:t>
    </w:r>
    <w:proofErr w:type="spellStart"/>
    <w:r w:rsidRPr="004225F6">
      <w:rPr>
        <w:rFonts w:asciiTheme="minorHAnsi" w:hAnsiTheme="minorHAnsi"/>
        <w:sz w:val="18"/>
        <w:lang w:val="fr-CH"/>
      </w:rPr>
      <w:t>Billodes</w:t>
    </w:r>
    <w:proofErr w:type="spellEnd"/>
    <w:r w:rsidRPr="004225F6">
      <w:rPr>
        <w:rFonts w:asciiTheme="minorHAnsi" w:hAnsiTheme="minorHAnsi"/>
        <w:sz w:val="18"/>
        <w:lang w:val="fr-CH"/>
      </w:rPr>
      <w:t xml:space="preserve"> 34-36 | CH-2400 Le Locle</w:t>
    </w:r>
  </w:p>
  <w:p w14:paraId="38FF8B1F" w14:textId="77777777" w:rsidR="00AA193D" w:rsidRPr="00B64129" w:rsidRDefault="00AA193D" w:rsidP="009D5829">
    <w:pPr>
      <w:pStyle w:val="Pieddepage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</w:rPr>
      <w:t xml:space="preserve">International Media Relations: Minh-Tan Bui – E-mail: </w:t>
    </w:r>
    <w:hyperlink r:id="rId1" w:history="1">
      <w:r>
        <w:rPr>
          <w:rStyle w:val="Lienhypertexte"/>
          <w:rFonts w:asciiTheme="minorHAnsi" w:hAnsiTheme="minorHAnsi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C005" w14:textId="77777777" w:rsidR="004B40C3" w:rsidRDefault="004B40C3" w:rsidP="009D5829">
      <w:r>
        <w:separator/>
      </w:r>
    </w:p>
  </w:footnote>
  <w:footnote w:type="continuationSeparator" w:id="0">
    <w:p w14:paraId="3A248031" w14:textId="77777777" w:rsidR="004B40C3" w:rsidRDefault="004B40C3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45AE0FDA" w:rsidR="00AA193D" w:rsidRDefault="00AA193D" w:rsidP="00A91380">
    <w:pPr>
      <w:pStyle w:val="En-tte"/>
      <w:spacing w:after="360"/>
      <w:jc w:val="center"/>
    </w:pPr>
    <w:r>
      <w:t xml:space="preserve"> </w:t>
    </w:r>
  </w:p>
  <w:p w14:paraId="41A2F496" w14:textId="77777777" w:rsidR="00AA193D" w:rsidRDefault="00AA193D" w:rsidP="00A91380">
    <w:pPr>
      <w:pStyle w:val="En-tte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ttore Cappelli">
    <w15:presenceInfo w15:providerId="AD" w15:userId="S-1-5-21-2198773580-2953788361-4200899132-44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25F6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40C3"/>
    <w:rsid w:val="004B579F"/>
    <w:rsid w:val="004C0638"/>
    <w:rsid w:val="004C408A"/>
    <w:rsid w:val="004C7222"/>
    <w:rsid w:val="004F53A7"/>
    <w:rsid w:val="00501330"/>
    <w:rsid w:val="00503584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868F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0FCA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76C9C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D44FA"/>
    <w:rsid w:val="00AE3FB1"/>
    <w:rsid w:val="00AE6183"/>
    <w:rsid w:val="00AF1490"/>
    <w:rsid w:val="00B00871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0FB2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32D9B"/>
    <w:rsid w:val="00F40E8E"/>
    <w:rsid w:val="00F442D9"/>
    <w:rsid w:val="00F5368B"/>
    <w:rsid w:val="00F55E0D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it-IT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6</cp:revision>
  <cp:lastPrinted>2018-11-20T10:55:00Z</cp:lastPrinted>
  <dcterms:created xsi:type="dcterms:W3CDTF">2018-11-29T10:33:00Z</dcterms:created>
  <dcterms:modified xsi:type="dcterms:W3CDTF">2018-12-05T14:18:00Z</dcterms:modified>
</cp:coreProperties>
</file>