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A41" w14:textId="1FCC06D1" w:rsidR="00595A73" w:rsidRPr="00AE6183" w:rsidRDefault="004C0638" w:rsidP="00AE6183">
      <w:pPr>
        <w:spacing w:line="276" w:lineRule="auto"/>
        <w:jc w:val="both"/>
        <w:rPr>
          <w:rFonts w:ascii="DINOT" w:eastAsia="Arial" w:hAnsi="DINOT" w:cs="Arial"/>
          <w:b/>
          <w:sz w:val="20"/>
          <w:szCs w:val="20"/>
        </w:rPr>
      </w:pPr>
      <w:r>
        <w:rPr>
          <w:rFonts w:ascii="DINOT" w:hAnsi="DINOT" w:cs="Arial"/>
          <w:b/>
          <w:noProof/>
          <w:sz w:val="20"/>
          <w:lang w:val="fr-CH" w:eastAsia="ja-JP"/>
        </w:rPr>
        <w:drawing>
          <wp:anchor distT="0" distB="0" distL="114300" distR="114300" simplePos="0" relativeHeight="251654656" behindDoc="1" locked="0" layoutInCell="1" allowOverlap="1" wp14:anchorId="115D748D" wp14:editId="1BE0AEED">
            <wp:simplePos x="0" y="0"/>
            <wp:positionH relativeFrom="column">
              <wp:posOffset>2102197</wp:posOffset>
            </wp:positionH>
            <wp:positionV relativeFrom="paragraph">
              <wp:posOffset>-825600</wp:posOffset>
            </wp:positionV>
            <wp:extent cx="1552575" cy="68429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032090" w14:textId="77777777" w:rsidR="00B00871" w:rsidRPr="003F56AC" w:rsidRDefault="00AE6183" w:rsidP="003F56AC">
      <w:pPr>
        <w:spacing w:line="276" w:lineRule="auto"/>
        <w:jc w:val="center"/>
        <w:rPr>
          <w:rFonts w:ascii="DINOT-Light" w:hAnsi="DINOT-Light"/>
          <w:b/>
          <w:sz w:val="20"/>
        </w:rPr>
      </w:pPr>
      <w:r w:rsidRPr="003F56AC">
        <w:rPr>
          <w:rFonts w:ascii="DINOT-Light" w:hAnsi="DINOT-Light"/>
          <w:b/>
        </w:rPr>
        <w:t>DEFY CLASSIC BLACK CERAMIC</w:t>
      </w:r>
    </w:p>
    <w:p w14:paraId="31C38C50" w14:textId="6A158102" w:rsidR="00AE6183" w:rsidRPr="00975080" w:rsidRDefault="00AE6183" w:rsidP="00AE6183">
      <w:pPr>
        <w:spacing w:after="120" w:line="276" w:lineRule="auto"/>
        <w:jc w:val="center"/>
        <w:rPr>
          <w:rFonts w:ascii="DINOT-Light" w:hAnsi="DINOT-Light"/>
          <w:sz w:val="18"/>
        </w:rPr>
      </w:pPr>
      <w:r>
        <w:rPr>
          <w:rFonts w:ascii="DINOT-Light" w:hAnsi="DINOT-Light"/>
          <w:b/>
          <w:sz w:val="20"/>
        </w:rPr>
        <w:t>Mais escuro. Mais audacioso. Desafiador.</w:t>
      </w:r>
    </w:p>
    <w:p w14:paraId="3837039C" w14:textId="77777777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sz w:val="16"/>
        </w:rPr>
      </w:pPr>
    </w:p>
    <w:p w14:paraId="343B05E0" w14:textId="77777777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b/>
          <w:sz w:val="18"/>
        </w:rPr>
        <w:t>No novo DEFY Classic Black Ceramic, estilo e conteúdo estão juntos para marcar a primeira vez que o material ultrarrígido e intrinsecamente preto é usado na coleção DEFY Classic. Com uma fascinante exibição da micromecânica e desempenho excepcional que se tornaram sinônimo da manufatura Zenith, o DEFY Classic Black Ceramic é o apanágio do estilo decididamente cosmopolita.</w:t>
      </w:r>
    </w:p>
    <w:p w14:paraId="2E352328" w14:textId="77777777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sz w:val="18"/>
          <w:szCs w:val="20"/>
        </w:rPr>
      </w:pPr>
    </w:p>
    <w:p w14:paraId="22759646" w14:textId="575D37DE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Uma silhueta impressionante</w:t>
      </w:r>
    </w:p>
    <w:p w14:paraId="11360FF6" w14:textId="411E2C22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>O DEFY Classic deixou sua marca como expressão da arte relojoeira neo-futurística da Zenith em sua mais pura forma. Com o DEFY Classic Black Ceramic, suas características inconfundíveis ganham vida com suas nuances sutilmente escuras e a sensação de volume que ele transmite com sua geometria equilibrada e uma exclusiva e visionária arquitetura – por dentro e por fora.</w:t>
      </w:r>
    </w:p>
    <w:p w14:paraId="35EAA80A" w14:textId="590590D0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sz w:val="18"/>
        </w:rPr>
        <w:t>Feita de cerâmica de óxido de zircônio preta ultrarresistente, a caixa de 41 mm facetada do DEFY Classic apresenta uma combinação de superfícies acetinadas escovadas e polidas que destacam sua caixa geométrica e totalmente contemporânea inspirada na coleção DEFY original da Zenith lançada na década de 1970. A silhueta angular da caixa é suavizada pelo aro perfeitamente circular ao seu redor.</w:t>
      </w:r>
    </w:p>
    <w:p w14:paraId="65FBF3D6" w14:textId="77777777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</w:p>
    <w:p w14:paraId="658A309F" w14:textId="43C48A57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Escuridão estelar</w:t>
      </w:r>
    </w:p>
    <w:p w14:paraId="6FC60C16" w14:textId="5389B84D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/>
          <w:sz w:val="18"/>
        </w:rPr>
        <w:t>O ponto central do DEFY Classic Black Ceramic é o moderno mostrador aberto. Com uma forma estelar com ângulos ultramodernos, o elemento com diversas camadas integradas mescla o mostrador neoteórico com o movimento.</w:t>
      </w:r>
    </w:p>
    <w:p w14:paraId="26D78D45" w14:textId="1ACE19F2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sz w:val="18"/>
        </w:rPr>
        <w:t xml:space="preserve">Em plena luz do dia, os ponteiros facetados e os marcadores aplicados como um complexo escurecido do mostrador aberto e partes visíveis do movimento, com suas superfícies tratadas com rutênio polido que reluz através da escuridão para facilitar significativamente a visualização das horas. Com o cair da noite, eles emitem um brilho verde sutil da cobertura Super-LumiNova® SLN C1 que remete à luz noturna de uma cidade que nunca dorme. </w:t>
      </w:r>
    </w:p>
    <w:p w14:paraId="64D0E67A" w14:textId="77777777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</w:p>
    <w:p w14:paraId="6095B60D" w14:textId="5C0FCA4D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b/>
          <w:sz w:val="18"/>
        </w:rPr>
        <w:t>Forma e função unidos</w:t>
      </w:r>
    </w:p>
    <w:p w14:paraId="23BEFD8F" w14:textId="213A03A1" w:rsidR="00AE6183" w:rsidRPr="00975080" w:rsidRDefault="00AE6183" w:rsidP="003F56AC">
      <w:pPr>
        <w:spacing w:after="160" w:line="276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/>
          <w:sz w:val="18"/>
        </w:rPr>
        <w:t>Visível através de um mostrador aberto e o fundo da caixa em safira do DEFY Classic, o movimento Elite 670 automático da manufatura nunca falha. Um movimento básico na linha da Zenith há décadas, o DEFY Classic representa a primeira vez que o calibre Elite foi esqueletizado. Sua anatomia foi completamente reformulada, desde sua estética com pontes restruturadas e abertas com acabamento inovador até seu desempenho, já que o calibre Elite no DEFY Classic apresenta uma roda de escape e alavanca em silício.</w:t>
      </w:r>
    </w:p>
    <w:p w14:paraId="4597299E" w14:textId="54CFBF36" w:rsidR="003F56AC" w:rsidRDefault="00AE6183" w:rsidP="003F56AC">
      <w:pPr>
        <w:spacing w:after="160" w:line="276" w:lineRule="auto"/>
        <w:jc w:val="both"/>
        <w:rPr>
          <w:rFonts w:ascii="DINOT-Light" w:hAnsi="DINOT-Light"/>
          <w:sz w:val="20"/>
        </w:rPr>
      </w:pPr>
      <w:r>
        <w:rPr>
          <w:rFonts w:ascii="DINOT-Light" w:hAnsi="DINOT-Light"/>
          <w:sz w:val="18"/>
        </w:rPr>
        <w:t>Perfeitamente integrado ao contorno da caixa e seguindo as linhas estruturadas do mostrador e do movimento, o DEFY Classic Black Ceramic também apresenta uma pulseira em borracha preta estruturada que proporciona uma elegância esportiva, casual e confortável em todas as situações que um explorador urbano pode encontrar</w:t>
      </w:r>
      <w:r>
        <w:rPr>
          <w:rFonts w:ascii="DINOT-Light" w:hAnsi="DINOT-Light"/>
          <w:sz w:val="20"/>
        </w:rPr>
        <w:t>.</w:t>
      </w:r>
    </w:p>
    <w:p w14:paraId="40E75DE6" w14:textId="0CABC370" w:rsidR="003F56AC" w:rsidRDefault="003F56AC" w:rsidP="003F56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/>
          <w:sz w:val="20"/>
        </w:rPr>
      </w:pPr>
      <w:r>
        <w:rPr>
          <w:rFonts w:ascii="DINOT-Light" w:hAnsi="DINOT-Light"/>
          <w:sz w:val="20"/>
        </w:rPr>
        <w:br w:type="page"/>
      </w:r>
    </w:p>
    <w:p w14:paraId="347555B6" w14:textId="742FB488" w:rsidR="003F56AC" w:rsidRDefault="003F56AC" w:rsidP="003F56AC">
      <w:pPr>
        <w:spacing w:after="160" w:line="276" w:lineRule="auto"/>
        <w:jc w:val="both"/>
        <w:rPr>
          <w:rFonts w:ascii="DINOT-Light" w:hAnsi="DINOT-Light"/>
          <w:sz w:val="20"/>
        </w:rPr>
      </w:pPr>
      <w:r>
        <w:rPr>
          <w:rFonts w:ascii="DINOT" w:hAnsi="DINOT" w:cs="Arial"/>
          <w:b/>
          <w:noProof/>
          <w:sz w:val="20"/>
          <w:lang w:val="fr-CH" w:eastAsia="ja-JP"/>
        </w:rPr>
        <w:lastRenderedPageBreak/>
        <w:drawing>
          <wp:anchor distT="0" distB="0" distL="114300" distR="114300" simplePos="0" relativeHeight="251665920" behindDoc="1" locked="0" layoutInCell="1" allowOverlap="1" wp14:anchorId="652DADC8" wp14:editId="1A3F625C">
            <wp:simplePos x="0" y="0"/>
            <wp:positionH relativeFrom="margin">
              <wp:posOffset>2102197</wp:posOffset>
            </wp:positionH>
            <wp:positionV relativeFrom="paragraph">
              <wp:posOffset>-782468</wp:posOffset>
            </wp:positionV>
            <wp:extent cx="1552575" cy="68429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24596E" w14:textId="77777777" w:rsidR="003F56AC" w:rsidRPr="003F56AC" w:rsidRDefault="003F56AC" w:rsidP="003F56AC">
      <w:pPr>
        <w:spacing w:after="160" w:line="276" w:lineRule="auto"/>
        <w:jc w:val="both"/>
        <w:rPr>
          <w:rFonts w:ascii="DINOT-Light" w:hAnsi="DINOT-Light"/>
          <w:b/>
          <w:sz w:val="18"/>
        </w:rPr>
      </w:pPr>
      <w:r w:rsidRPr="003F56AC">
        <w:rPr>
          <w:rFonts w:ascii="DINOT-Light" w:hAnsi="DINOT-Light"/>
          <w:b/>
          <w:sz w:val="18"/>
        </w:rPr>
        <w:t>ZENITH: O futuro da relojoaria suíça</w:t>
      </w:r>
    </w:p>
    <w:p w14:paraId="3487B24B" w14:textId="77777777" w:rsidR="003F56AC" w:rsidRPr="003F56AC" w:rsidRDefault="003F56AC" w:rsidP="003F56AC">
      <w:pPr>
        <w:spacing w:after="160" w:line="276" w:lineRule="auto"/>
        <w:jc w:val="both"/>
        <w:rPr>
          <w:rFonts w:ascii="DINOT-Light" w:hAnsi="DINOT-Light"/>
          <w:sz w:val="18"/>
        </w:rPr>
      </w:pPr>
      <w:r w:rsidRPr="003F56AC">
        <w:rPr>
          <w:rFonts w:ascii="DINOT-Light" w:hAnsi="DINOT-Light"/>
          <w:sz w:val="18"/>
        </w:rPr>
        <w:t>Desde 1865, a Zenith tem sido orientada pela autenticidade, desafio e paixão por ultrapassar os limites da excelência, precisão e inovação. Logo após sua fundação em Le Locle, pelo visionário fabricante de relógios Georges Favre-Jacot, a Zenith foi reconhecida pela precisão de seus cronômetros com os quais ganhou 2.333 prêmios de cronometria em pouco mais de um século e meio de existência: um recorde absoluto. Conhecida por seu lendário calibre 1969 El Primero que permite medições precisas de curto tempo até próximo de 1/10º de segundo, a fábrica desenvolveu mais de 600 variações de movimento. Hoje, a Zenith oferece perspectivas novas e fascinantes da medição de tempo, incluindo a contagem de 1/100º de segundo com o Defy El Primero 21 e toda uma nova dimensão em precisão mecânica com o relógio mais preciso do mundo: Defy Lab do século XXI.  Incentivada por laços recentemente reforçados com uma tradição orgulhosa do pensamento dinâmico e de vanguarda, a Zenith está escrevendo seu futuro… e o futuro da relojoaria suíça.</w:t>
      </w:r>
    </w:p>
    <w:p w14:paraId="69F6CB8C" w14:textId="3EE07FE4" w:rsidR="00311014" w:rsidRPr="00AE6183" w:rsidRDefault="00AE6183" w:rsidP="00311014">
      <w:pPr>
        <w:spacing w:after="120" w:line="276" w:lineRule="auto"/>
        <w:jc w:val="both"/>
        <w:rPr>
          <w:rFonts w:ascii="DINOT-Light" w:hAnsi="DINOT-Light"/>
          <w:b/>
          <w:sz w:val="20"/>
          <w:szCs w:val="20"/>
        </w:rPr>
      </w:pPr>
      <w:r>
        <w:rPr>
          <w:rFonts w:asciiTheme="minorHAnsi" w:hAnsiTheme="minorHAnsi" w:cs="Arial"/>
          <w:sz w:val="20"/>
        </w:rPr>
        <w:br w:type="page"/>
      </w:r>
    </w:p>
    <w:p w14:paraId="791BAC81" w14:textId="179A01A2" w:rsidR="00311014" w:rsidRPr="00AE6183" w:rsidRDefault="00311014" w:rsidP="00311014">
      <w:pPr>
        <w:spacing w:line="276" w:lineRule="auto"/>
        <w:rPr>
          <w:rFonts w:ascii="DINOT-Light" w:hAnsi="DINOT-Light" w:cs="Arial"/>
          <w:b/>
          <w:szCs w:val="20"/>
        </w:rPr>
      </w:pPr>
      <w:bookmarkStart w:id="0" w:name="_GoBack"/>
      <w:r>
        <w:rPr>
          <w:rFonts w:asciiTheme="minorHAnsi" w:hAnsiTheme="minorHAnsi" w:cs="Arial"/>
          <w:b/>
          <w:noProof/>
          <w:sz w:val="20"/>
          <w:lang w:val="fr-CH" w:eastAsia="ja-JP"/>
        </w:rPr>
        <w:lastRenderedPageBreak/>
        <w:drawing>
          <wp:anchor distT="0" distB="0" distL="114300" distR="114300" simplePos="0" relativeHeight="251663872" behindDoc="1" locked="0" layoutInCell="1" allowOverlap="1" wp14:anchorId="445503D5" wp14:editId="27E06614">
            <wp:simplePos x="0" y="0"/>
            <wp:positionH relativeFrom="column">
              <wp:posOffset>2102197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D4AE1FD" w14:textId="0B36255A" w:rsidR="00311014" w:rsidRPr="00AE6183" w:rsidRDefault="00311014" w:rsidP="00311014">
      <w:pPr>
        <w:spacing w:after="120" w:line="276" w:lineRule="auto"/>
        <w:rPr>
          <w:rFonts w:ascii="DINOT-Light" w:hAnsi="DINOT-Light" w:cs="Arial"/>
          <w:b/>
          <w:szCs w:val="20"/>
          <w:bdr w:val="none" w:sz="0" w:space="0" w:color="auto"/>
        </w:rPr>
      </w:pPr>
      <w:r>
        <w:rPr>
          <w:rFonts w:ascii="DINOT-Light" w:hAnsi="DINOT-Light"/>
          <w:noProof/>
          <w:lang w:val="fr-CH" w:eastAsia="ja-JP"/>
        </w:rPr>
        <w:drawing>
          <wp:anchor distT="0" distB="0" distL="114300" distR="114300" simplePos="0" relativeHeight="251659776" behindDoc="0" locked="0" layoutInCell="1" allowOverlap="1" wp14:anchorId="1F2F3863" wp14:editId="2E0DD992">
            <wp:simplePos x="0" y="0"/>
            <wp:positionH relativeFrom="margin">
              <wp:align>right</wp:align>
            </wp:positionH>
            <wp:positionV relativeFrom="margin">
              <wp:posOffset>400050</wp:posOffset>
            </wp:positionV>
            <wp:extent cx="2294255" cy="3700145"/>
            <wp:effectExtent l="0" t="0" r="0" b="0"/>
            <wp:wrapSquare wrapText="bothSides"/>
            <wp:docPr id="7" name="Picture 8" descr="Y:\01. Projects\ZENITH\ZEN022 ZENITH Elite Skeleton\ZEN022ZV - Defy Classic Ceramic - Align to Prototype\CR\CR-ZEN022ZZV-02-01.png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/>
                    <a:stretch/>
                  </pic:blipFill>
                  <pic:spPr bwMode="auto">
                    <a:xfrm>
                      <a:off x="0" y="0"/>
                      <a:ext cx="22942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-Light" w:hAnsi="DINOT-Light" w:cs="Arial"/>
          <w:b/>
        </w:rPr>
        <w:t>DEFY CLASSIC BLACK CERAMIC</w:t>
      </w:r>
    </w:p>
    <w:p w14:paraId="5CCC6BD8" w14:textId="634FE5F7" w:rsidR="00311014" w:rsidRPr="00AE6183" w:rsidRDefault="00311014" w:rsidP="00311014">
      <w:pPr>
        <w:spacing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DETALHES TÉCNICOS</w:t>
      </w:r>
    </w:p>
    <w:p w14:paraId="29521B81" w14:textId="77777777" w:rsidR="00311014" w:rsidRPr="00AE6183" w:rsidRDefault="00311014" w:rsidP="00311014">
      <w:pPr>
        <w:spacing w:line="276" w:lineRule="auto"/>
        <w:rPr>
          <w:rFonts w:ascii="DINOT-Light" w:hAnsi="DINOT-Light" w:cs="Arial"/>
          <w:sz w:val="18"/>
          <w:szCs w:val="20"/>
        </w:rPr>
      </w:pPr>
    </w:p>
    <w:p w14:paraId="4DF5FC2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Referência: 49.9000.670/78.R782</w:t>
      </w:r>
    </w:p>
    <w:p w14:paraId="70D656C7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69CBF37F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 xml:space="preserve">PRINCIPAIS PONTOS </w:t>
      </w:r>
    </w:p>
    <w:p w14:paraId="50493BD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Movimento esqueletizado Elite </w:t>
      </w:r>
    </w:p>
    <w:p w14:paraId="248A2FE7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NOVA Caixa em cerâmica preta 41 mm</w:t>
      </w:r>
    </w:p>
    <w:p w14:paraId="645C879C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Alavanca e roda de escape em silício </w:t>
      </w:r>
    </w:p>
    <w:p w14:paraId="4CCB4B94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2E1F59C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MOVIMENTO</w:t>
      </w:r>
    </w:p>
    <w:p w14:paraId="03C458E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Elite 670 SK, Automático</w:t>
      </w:r>
    </w:p>
    <w:p w14:paraId="1E924F96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Calibre: 11 ½" (Diâmetro: 25,60 mm)</w:t>
      </w:r>
    </w:p>
    <w:p w14:paraId="6E03E888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 do movimento: 3,88 mm</w:t>
      </w:r>
    </w:p>
    <w:p w14:paraId="26FCAEB5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Componentes: 187</w:t>
      </w:r>
    </w:p>
    <w:p w14:paraId="46C70EA0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Joias: 27</w:t>
      </w:r>
    </w:p>
    <w:p w14:paraId="5D88E4C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Reserva de marcha: mín. 48 horas</w:t>
      </w:r>
    </w:p>
    <w:p w14:paraId="67BE2353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Acabamento: Massa oscilante especial com acabamento acetinado escovado</w:t>
      </w:r>
    </w:p>
    <w:p w14:paraId="045E105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27A6276F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FUNÇÕES</w:t>
      </w:r>
    </w:p>
    <w:p w14:paraId="2C43A5E4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Horas e minutos ao centro</w:t>
      </w:r>
    </w:p>
    <w:p w14:paraId="3A3FEA2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Ponteiro central de segundos </w:t>
      </w:r>
    </w:p>
    <w:p w14:paraId="4105C6B6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Indicador de data na posição de 6 horas</w:t>
      </w:r>
    </w:p>
    <w:p w14:paraId="15A4FBF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56360B6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CAIXA, MOSTRADOR E PONTEIROS</w:t>
      </w:r>
    </w:p>
    <w:p w14:paraId="00821D7B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Diâmetro: 41 mm</w:t>
      </w:r>
    </w:p>
    <w:p w14:paraId="1AB1B8CD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Diâmetro da abertura: 32,5 mm</w:t>
      </w:r>
    </w:p>
    <w:p w14:paraId="2F0B3E08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Espessura: 10,75 mm</w:t>
      </w:r>
    </w:p>
    <w:p w14:paraId="5D5788A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Vidro: Vidro de safira convexo com tratamento antirreflexo em ambos os lados</w:t>
      </w:r>
    </w:p>
    <w:p w14:paraId="0222DC75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Fundo da caixa: Vidro de safira transparente</w:t>
      </w:r>
    </w:p>
    <w:p w14:paraId="0E702583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Material: Cerâmica preta</w:t>
      </w:r>
    </w:p>
    <w:p w14:paraId="7F5BBE1F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Estanqueidade: 10 ATM</w:t>
      </w:r>
    </w:p>
    <w:p w14:paraId="7D99B08E" w14:textId="7B4CF356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 xml:space="preserve">Mostrador: </w:t>
      </w:r>
      <w:r w:rsidR="007358BC">
        <w:rPr>
          <w:rFonts w:ascii="DINOT-Light" w:hAnsi="DINOT-Light" w:cs="Arial"/>
          <w:sz w:val="18"/>
        </w:rPr>
        <w:t>Esqueletizado</w:t>
      </w:r>
    </w:p>
    <w:p w14:paraId="0C173D30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Índices das horas: Banhado a rutênio, facetado e revestido com Super-LumiNova® SLN C1</w:t>
      </w:r>
    </w:p>
    <w:p w14:paraId="729308D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Ponteiros: Banhado a rutênio, facetado e revestido com Super-LumiNova® SLN C1</w:t>
      </w:r>
    </w:p>
    <w:p w14:paraId="0DC6247A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05721B30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cs="Arial"/>
          <w:b/>
          <w:sz w:val="18"/>
        </w:rPr>
        <w:t>PULSEIRA E FECHO</w:t>
      </w:r>
    </w:p>
    <w:p w14:paraId="0589C321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Borracha preta com fecho de dobra DLC preto</w:t>
      </w:r>
    </w:p>
    <w:p w14:paraId="110F6F6E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cs="Arial"/>
          <w:sz w:val="18"/>
        </w:rPr>
        <w:t>Também disponível em borracha preta com revestimento em couro de crocodilo preto (27.00.2218.582)</w:t>
      </w:r>
    </w:p>
    <w:p w14:paraId="18328968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5CE2854" w14:textId="77777777" w:rsidR="00311014" w:rsidRPr="00AE6183" w:rsidRDefault="00311014" w:rsidP="0031101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sectPr w:rsidR="00311014" w:rsidRPr="00AE61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AA193D" w:rsidRDefault="00AA193D" w:rsidP="009D5829">
      <w:r>
        <w:separator/>
      </w:r>
    </w:p>
  </w:endnote>
  <w:endnote w:type="continuationSeparator" w:id="0">
    <w:p w14:paraId="179D01D1" w14:textId="77777777" w:rsidR="00AA193D" w:rsidRDefault="00AA193D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3F56AC" w:rsidRDefault="00AA193D" w:rsidP="009D5829">
    <w:pPr>
      <w:pStyle w:val="Pieddepage"/>
      <w:jc w:val="center"/>
      <w:rPr>
        <w:rFonts w:asciiTheme="minorHAnsi" w:hAnsiTheme="minorHAnsi"/>
        <w:sz w:val="18"/>
        <w:szCs w:val="18"/>
        <w:lang w:val="fr-CH"/>
      </w:rPr>
    </w:pPr>
    <w:r w:rsidRPr="003F56AC">
      <w:rPr>
        <w:rFonts w:asciiTheme="minorHAnsi" w:hAnsiTheme="minorHAnsi"/>
        <w:b/>
        <w:sz w:val="18"/>
        <w:lang w:val="fr-CH"/>
      </w:rPr>
      <w:t>ZENITH</w:t>
    </w:r>
    <w:r w:rsidRPr="003F56AC">
      <w:rPr>
        <w:rFonts w:asciiTheme="minorHAnsi" w:hAnsiTheme="minorHAnsi"/>
        <w:sz w:val="18"/>
        <w:lang w:val="fr-CH"/>
      </w:rPr>
      <w:t xml:space="preserve"> | www.zenith-watches.com | Rue des Billodes 34-36 | CH-2400 Le Locle</w:t>
    </w:r>
  </w:p>
  <w:p w14:paraId="38FF8B1F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</w:rPr>
      <w:t xml:space="preserve">Relações Públicas Internacionais: Minh-Tan Bui – E-mail: </w:t>
    </w:r>
    <w:hyperlink r:id="rId1" w:history="1">
      <w:r>
        <w:rPr>
          <w:rStyle w:val="Lienhypertexte"/>
          <w:rFonts w:asciiTheme="minorHAnsi" w:hAnsiTheme="minorHAnsi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AA193D" w:rsidRDefault="00AA193D" w:rsidP="009D5829">
      <w:r>
        <w:separator/>
      </w:r>
    </w:p>
  </w:footnote>
  <w:footnote w:type="continuationSeparator" w:id="0">
    <w:p w14:paraId="6D69A4A1" w14:textId="77777777" w:rsidR="00AA193D" w:rsidRDefault="00AA193D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AA193D" w:rsidRDefault="00AA193D" w:rsidP="00A91380">
    <w:pPr>
      <w:pStyle w:val="En-tte"/>
      <w:spacing w:after="360"/>
      <w:jc w:val="center"/>
    </w:pPr>
    <w:r>
      <w:t xml:space="preserve"> </w:t>
    </w:r>
  </w:p>
  <w:p w14:paraId="41A2F496" w14:textId="77777777" w:rsidR="00AA193D" w:rsidRDefault="00AA193D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21C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55D6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56AC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358BC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B00871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pt-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pt-B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pt-BR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11</cp:revision>
  <cp:lastPrinted>2018-11-20T10:55:00Z</cp:lastPrinted>
  <dcterms:created xsi:type="dcterms:W3CDTF">2018-11-21T11:43:00Z</dcterms:created>
  <dcterms:modified xsi:type="dcterms:W3CDTF">2018-12-05T14:20:00Z</dcterms:modified>
</cp:coreProperties>
</file>