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88FE" w14:textId="0A480A90" w:rsidR="004505EC" w:rsidRPr="00367262" w:rsidRDefault="004505EC" w:rsidP="004505EC">
      <w:pPr>
        <w:jc w:val="both"/>
        <w:rPr>
          <w:rFonts w:ascii="DINOT-Light" w:hAnsi="DINOT-Light" w:cstheme="minorHAnsi"/>
          <w:i/>
          <w:w w:val="98"/>
          <w:sz w:val="18"/>
          <w:szCs w:val="24"/>
        </w:rPr>
      </w:pPr>
    </w:p>
    <w:p w14:paraId="0FD61C6F" w14:textId="2D8FE70A" w:rsidR="006358E4" w:rsidRPr="00367262" w:rsidRDefault="00D470C5" w:rsidP="006358E4">
      <w:pPr>
        <w:jc w:val="center"/>
        <w:rPr>
          <w:rFonts w:ascii="DINOT-Light" w:hAnsi="DINOT-Light"/>
          <w:b/>
          <w:sz w:val="24"/>
          <w:szCs w:val="32"/>
        </w:rPr>
      </w:pPr>
      <w:r>
        <w:rPr>
          <w:rFonts w:ascii="DINOT-Light" w:hAnsi="DINOT-Light"/>
          <w:b/>
          <w:sz w:val="24"/>
        </w:rPr>
        <w:t>DEFY CLASSIC ZENITH DE DOIS TONS</w:t>
      </w:r>
    </w:p>
    <w:p w14:paraId="240D7B22" w14:textId="197F7926" w:rsidR="006358E4" w:rsidRPr="00367262" w:rsidRDefault="006358E4" w:rsidP="006358E4">
      <w:pPr>
        <w:jc w:val="both"/>
        <w:rPr>
          <w:rFonts w:ascii="DINOT-Light" w:hAnsi="DINOT-Light" w:cstheme="minorHAnsi"/>
          <w:i/>
          <w:w w:val="98"/>
          <w:sz w:val="18"/>
          <w:szCs w:val="24"/>
        </w:rPr>
      </w:pPr>
    </w:p>
    <w:p w14:paraId="4A575BC7" w14:textId="77777777" w:rsidR="0001178D" w:rsidRPr="00367262" w:rsidRDefault="0001178D" w:rsidP="006358E4">
      <w:pPr>
        <w:jc w:val="both"/>
        <w:rPr>
          <w:rFonts w:ascii="DINOT-Light" w:hAnsi="DINOT-Light" w:cstheme="minorHAnsi"/>
          <w:i/>
          <w:w w:val="98"/>
          <w:sz w:val="2"/>
          <w:szCs w:val="24"/>
        </w:rPr>
      </w:pPr>
    </w:p>
    <w:p w14:paraId="343992A8" w14:textId="644A818B" w:rsidR="006358E4" w:rsidRPr="00367262" w:rsidRDefault="006358E4" w:rsidP="0001178D">
      <w:pPr>
        <w:spacing w:line="360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b/>
          <w:sz w:val="18"/>
        </w:rPr>
        <w:t xml:space="preserve">Em 2019, a Zenith está combinando um aro de ouro rosé de 18 quilates com sua caixa de titânio escovado ultraleve da marca. Este é o primeiro DEFY CLASSIC a receber ouro rosé e também a primeira versão de dois tons do popular modelo de 41 mm da coleção, tornando-o um acessório que será a escolha certa para homens e mulheres com um gosto pela elegância casual combinada com a já conhecida confiabilidade. </w:t>
      </w:r>
    </w:p>
    <w:p w14:paraId="7CE93411" w14:textId="77777777" w:rsidR="0001178D" w:rsidRPr="00367262" w:rsidRDefault="0001178D" w:rsidP="0001178D">
      <w:pPr>
        <w:spacing w:line="360" w:lineRule="auto"/>
        <w:jc w:val="both"/>
        <w:rPr>
          <w:rFonts w:ascii="DINOT-Light" w:hAnsi="DINOT-Light"/>
          <w:sz w:val="18"/>
          <w:szCs w:val="20"/>
        </w:rPr>
      </w:pPr>
    </w:p>
    <w:p w14:paraId="1FBBFF90" w14:textId="5BA8FC70" w:rsidR="006358E4" w:rsidRPr="00367262" w:rsidRDefault="006358E4" w:rsidP="0001178D">
      <w:pPr>
        <w:spacing w:line="360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/>
          <w:sz w:val="18"/>
        </w:rPr>
        <w:t>Projetado para atrair homens e mulheres urbanos com suas dimensões convenientes, a caixa de titânio e ouro rosé do DEFY CLASSIC é resistente à água até 10 ATM, com destaque para os ponteiros e índices de horas facetados a ouro, juntamente com um disco de data lido em uma janela branca na posição de 6 horas. Apresentando a transparência da assinatura da coleção, o mostrador aberto em cinza-claro garante uma visão desobstruída do calibre base Elite 670 automático da Manufatura ZENITH que movimenta este distinto relógio. Completo com uma roda de escape de silício e alavanca, bem como uma massa oscilante especial com acabamentos satinados, o movimento opera a uma frequência de 4 Hz e oferece mais de 50 horas de autonomia. A elegância deste sofisticado motor também pode ser admirada através de um fundo de caixa transparente em vidro de safira. A natureza de dois tons do modelo é refletida nos elos maleáveis da pulseira de titânio e ouro rosé, complementando essa combinação artística de sofisticação estética e refinamento técnico.</w:t>
      </w:r>
    </w:p>
    <w:p w14:paraId="775C95DF" w14:textId="77777777" w:rsidR="007F45A8" w:rsidRPr="00367262" w:rsidRDefault="007F45A8" w:rsidP="0001178D">
      <w:pPr>
        <w:spacing w:line="360" w:lineRule="auto"/>
        <w:jc w:val="both"/>
        <w:rPr>
          <w:rFonts w:ascii="DINOT-Light" w:hAnsi="DINOT-Light"/>
          <w:sz w:val="20"/>
          <w:szCs w:val="20"/>
        </w:rPr>
      </w:pPr>
    </w:p>
    <w:p w14:paraId="44CBB7B2" w14:textId="77777777" w:rsidR="006358E4" w:rsidRPr="00367262" w:rsidRDefault="006358E4" w:rsidP="0001178D">
      <w:pPr>
        <w:spacing w:line="360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b/>
          <w:sz w:val="18"/>
        </w:rPr>
        <w:t>ZENITH: O futuro da relojoaria suíça</w:t>
      </w:r>
    </w:p>
    <w:p w14:paraId="5652F643" w14:textId="77777777" w:rsidR="006358E4" w:rsidRPr="00367262" w:rsidRDefault="006358E4" w:rsidP="0001178D">
      <w:pPr>
        <w:spacing w:line="360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/>
          <w:sz w:val="18"/>
        </w:rPr>
        <w:t>Desde 1865, a Zenith tem sido orientada pela autenticidade, desafio e paixão por ultrapassar os limites da excelência, precisão e inovação. Logo após sua fundação em Le Locle, pelo visionário fabricante de relógios Georges Favre-Jacot, a Zenith foi reconhecida pela precisão de seus cronômetros com os quais ganhou 2.333 prêmios de cronometria em pouco mais de um século e meio de existência: um recorde absoluto. Conhecida por seu lendário calibre El Primero, de 1969, que permite medições precisas de curto tempo até próximo de 1/10º de segundo, a fábrica desenvolveu mais de 600 variações de movimento. Hoje, a Zenith oferece novas e fascinantes perspectivas da medição de tempo, incluindo a contagem de 1/100º de segundo com o Defy El Primero 21 e toda uma nova dimensão em precisão mecânica com o relógio mais preciso do mundo: Defy Lab do século XXI.  Incentivada por laços recentemente reforçados com uma tradição orgulhosa do pensamento dinâmico e de vanguarda, a Zenith está escrevendo seu futuro… e o futuro da relojoaria suíça.</w:t>
      </w:r>
    </w:p>
    <w:p w14:paraId="5519EC97" w14:textId="69AAA086" w:rsidR="006358E4" w:rsidRPr="00367262" w:rsidRDefault="006358E4">
      <w:pPr>
        <w:rPr>
          <w:rFonts w:ascii="DINOT-Light" w:hAnsi="DINOT-Light"/>
          <w:sz w:val="18"/>
          <w:szCs w:val="20"/>
        </w:rPr>
      </w:pPr>
      <w:r>
        <w:rPr>
          <w:rFonts w:ascii="DINOT-Light" w:hAnsi="DINOT-Light"/>
          <w:sz w:val="18"/>
        </w:rPr>
        <w:br w:type="page"/>
      </w:r>
    </w:p>
    <w:p w14:paraId="2C9C06C9" w14:textId="2425976F" w:rsidR="006358E4" w:rsidRPr="00367262" w:rsidRDefault="0001178D" w:rsidP="006358E4">
      <w:pPr>
        <w:spacing w:after="120" w:line="276" w:lineRule="auto"/>
        <w:rPr>
          <w:rFonts w:ascii="DINOT-Light" w:hAnsi="DINOT-Light" w:cs="Arial"/>
          <w:b/>
          <w:sz w:val="24"/>
          <w:szCs w:val="20"/>
        </w:rPr>
      </w:pPr>
      <w:r>
        <w:rPr>
          <w:rFonts w:ascii="DINOT-Light" w:hAnsi="DINOT-Light" w:cs="Arial"/>
          <w:b/>
          <w:sz w:val="24"/>
        </w:rPr>
        <w:lastRenderedPageBreak/>
        <w:t>DEFY CLASSIC TITANIUM &amp; GOLD</w:t>
      </w:r>
    </w:p>
    <w:p w14:paraId="2888CEDC" w14:textId="512F3A77" w:rsidR="0001178D" w:rsidRPr="00367262" w:rsidRDefault="00BA1BAD" w:rsidP="00A129AB">
      <w:pPr>
        <w:spacing w:after="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26FDED6" wp14:editId="2D0B3044">
            <wp:simplePos x="0" y="0"/>
            <wp:positionH relativeFrom="margin">
              <wp:align>right</wp:align>
            </wp:positionH>
            <wp:positionV relativeFrom="margin">
              <wp:posOffset>313055</wp:posOffset>
            </wp:positionV>
            <wp:extent cx="2157095" cy="3622040"/>
            <wp:effectExtent l="0" t="0" r="0" b="0"/>
            <wp:wrapSquare wrapText="bothSides"/>
            <wp:docPr id="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125C12-75DC-4073-A345-5D76807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>
                      <a:extLst>
                        <a:ext uri="{FF2B5EF4-FFF2-40B4-BE49-F238E27FC236}">
                          <a16:creationId xmlns:a16="http://schemas.microsoft.com/office/drawing/2014/main" id="{FC125C12-75DC-4073-A345-5D76807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7" t="9886" r="11984" b="5215"/>
                    <a:stretch/>
                  </pic:blipFill>
                  <pic:spPr bwMode="auto">
                    <a:xfrm>
                      <a:off x="0" y="0"/>
                      <a:ext cx="215709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8E4">
        <w:rPr>
          <w:rFonts w:ascii="DINOT-Light" w:hAnsi="DINOT-Light" w:cs="Arial"/>
          <w:sz w:val="18"/>
        </w:rPr>
        <w:t>DETALHES TÉCNICOS</w:t>
      </w:r>
    </w:p>
    <w:p w14:paraId="65D0F681" w14:textId="3638D722" w:rsidR="00A129AB" w:rsidRPr="00367262" w:rsidRDefault="00A129AB" w:rsidP="00A129AB">
      <w:pPr>
        <w:spacing w:after="0" w:line="276" w:lineRule="auto"/>
        <w:rPr>
          <w:rFonts w:ascii="DINOT-Light" w:hAnsi="DINOT-Light" w:cs="Arial"/>
          <w:sz w:val="18"/>
          <w:szCs w:val="20"/>
        </w:rPr>
      </w:pPr>
    </w:p>
    <w:p w14:paraId="6517BE09" w14:textId="5C6CDCB9" w:rsidR="006358E4" w:rsidRPr="00367262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Referência: 87.9001.670/79.M9001</w:t>
      </w:r>
    </w:p>
    <w:p w14:paraId="5AE256DB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</w:p>
    <w:p w14:paraId="382AE581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 xml:space="preserve">PRINCIPAIS PONTOS </w:t>
      </w:r>
    </w:p>
    <w:p w14:paraId="0F7E29FC" w14:textId="77777777" w:rsidR="00EC6359" w:rsidRDefault="0001178D" w:rsidP="006358E4">
      <w:pPr>
        <w:spacing w:after="40" w:line="276" w:lineRule="auto"/>
        <w:rPr>
          <w:rFonts w:ascii="DINOT-Light" w:hAnsi="DINOT-Light" w:cs="Arial"/>
          <w:sz w:val="18"/>
        </w:rPr>
      </w:pPr>
      <w:r>
        <w:rPr>
          <w:rFonts w:ascii="DINOT-Light" w:hAnsi="DINOT-Light" w:cs="Arial"/>
          <w:sz w:val="18"/>
        </w:rPr>
        <w:t xml:space="preserve">Nova caixa de titânio escovado de 41mm com aro em ouro rosé </w:t>
      </w:r>
    </w:p>
    <w:p w14:paraId="58A299A5" w14:textId="14F4D438" w:rsidR="006358E4" w:rsidRPr="00367262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de 18 quilates </w:t>
      </w:r>
    </w:p>
    <w:p w14:paraId="04A385D3" w14:textId="38B77D51" w:rsidR="0001178D" w:rsidRPr="00367262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Movimento interno esqueletizado Elite </w:t>
      </w:r>
    </w:p>
    <w:p w14:paraId="70ED300C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Alavanca e roda de escape em silício </w:t>
      </w:r>
    </w:p>
    <w:p w14:paraId="565925C8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350B5960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MOVIMENTO</w:t>
      </w:r>
    </w:p>
    <w:p w14:paraId="0F708B0C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Elite 670 SK, Automático</w:t>
      </w:r>
    </w:p>
    <w:p w14:paraId="6B9316A9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Calibre: 11 ½" (diâmetro: 25,60 mm)</w:t>
      </w:r>
    </w:p>
    <w:p w14:paraId="04D9404B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Espessura do movimento: 3,88 mm</w:t>
      </w:r>
    </w:p>
    <w:p w14:paraId="1D842A21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Componentes: 187</w:t>
      </w:r>
    </w:p>
    <w:p w14:paraId="72510642" w14:textId="1311B11E" w:rsidR="006358E4" w:rsidRDefault="006358E4" w:rsidP="006358E4">
      <w:pPr>
        <w:spacing w:after="40" w:line="276" w:lineRule="auto"/>
        <w:rPr>
          <w:rFonts w:ascii="DINOT-Light" w:hAnsi="DINOT-Light" w:cs="Arial"/>
          <w:sz w:val="18"/>
        </w:rPr>
      </w:pPr>
      <w:r>
        <w:rPr>
          <w:rFonts w:ascii="DINOT-Light" w:hAnsi="DINOT-Light" w:cs="Arial"/>
          <w:sz w:val="18"/>
        </w:rPr>
        <w:t>Joias: 27</w:t>
      </w:r>
    </w:p>
    <w:p w14:paraId="28C493D5" w14:textId="26083FD5" w:rsidR="007D4031" w:rsidRPr="007D4031" w:rsidRDefault="007D4031" w:rsidP="006358E4">
      <w:pPr>
        <w:spacing w:after="40" w:line="276" w:lineRule="auto"/>
        <w:rPr>
          <w:rFonts w:ascii="DINOT-Light" w:hAnsi="DINOT-Light" w:cs="Arial"/>
          <w:sz w:val="18"/>
        </w:rPr>
      </w:pPr>
      <w:r w:rsidRPr="00F70EE9">
        <w:rPr>
          <w:rFonts w:ascii="DINOT-Light" w:hAnsi="DINOT-Light" w:cs="Arial"/>
          <w:sz w:val="18"/>
        </w:rPr>
        <w:t>Frequência: 28.800 VpH (4Hz)</w:t>
      </w:r>
    </w:p>
    <w:p w14:paraId="2969FCC0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Reserva de marcha: mín. 48 horas</w:t>
      </w:r>
      <w:bookmarkStart w:id="0" w:name="_GoBack"/>
      <w:bookmarkEnd w:id="0"/>
    </w:p>
    <w:p w14:paraId="62122571" w14:textId="6C41C03C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Acabamento: massa oscilante especial com acabamento acetinado</w:t>
      </w:r>
    </w:p>
    <w:p w14:paraId="6D335C21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66625665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FUNÇÕES</w:t>
      </w:r>
    </w:p>
    <w:p w14:paraId="65995CFF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Horas e minutos ao centro</w:t>
      </w:r>
    </w:p>
    <w:p w14:paraId="47918997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Ponteiro central de segundos </w:t>
      </w:r>
    </w:p>
    <w:p w14:paraId="35582F5C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Indicador de data na posição de 6 horas</w:t>
      </w:r>
    </w:p>
    <w:p w14:paraId="131DBD88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76FCCD77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CAIXA, MOSTRADOR E PONTEIROS</w:t>
      </w:r>
    </w:p>
    <w:p w14:paraId="5B633DDF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Diâmetro: 41 mm</w:t>
      </w:r>
    </w:p>
    <w:p w14:paraId="094986BB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Diâmetro da abertura: 32,5 mm</w:t>
      </w:r>
    </w:p>
    <w:p w14:paraId="64C26AEE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Espessura: 10,75 mm</w:t>
      </w:r>
    </w:p>
    <w:p w14:paraId="118D12BE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Vidro: vidro de safira convexo com tratamento antirreflexo em ambos os lados</w:t>
      </w:r>
    </w:p>
    <w:p w14:paraId="6C14B42D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Fundo da caixa: vidro de safira transparente</w:t>
      </w:r>
    </w:p>
    <w:p w14:paraId="7151022E" w14:textId="70D2B5ED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Material: titânio escovado e ouro rosé de 18 quilates </w:t>
      </w:r>
    </w:p>
    <w:p w14:paraId="4BCD84D6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Estanqueidade: 10 ATM</w:t>
      </w:r>
    </w:p>
    <w:p w14:paraId="266DF5C3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Mostrador: aberto </w:t>
      </w:r>
    </w:p>
    <w:p w14:paraId="637A0285" w14:textId="1CE199D0" w:rsidR="006358E4" w:rsidRPr="00367262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Índices das horas: banhados a ouro, facetados e revestidos com Super-LumiNova® SLN C1</w:t>
      </w:r>
    </w:p>
    <w:p w14:paraId="5ABF897F" w14:textId="32564D22" w:rsidR="006358E4" w:rsidRPr="00367262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Ponteiros: banhados a ouro, facetados e revestidos com Super-LumiNova® SLN C1</w:t>
      </w:r>
    </w:p>
    <w:p w14:paraId="010ABD89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1415CF91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PULSEIRA E FECHO</w:t>
      </w:r>
    </w:p>
    <w:p w14:paraId="23C8BA41" w14:textId="50812836" w:rsidR="006358E4" w:rsidRPr="00367262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Pulseira de titânio e ouro rosé com fecho dobrável</w:t>
      </w:r>
    </w:p>
    <w:p w14:paraId="5C4BAD04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51DD29DE" w14:textId="1AE61D29" w:rsidR="00292786" w:rsidRPr="00554939" w:rsidRDefault="00292786" w:rsidP="009F29F0">
      <w:pPr>
        <w:spacing w:line="276" w:lineRule="auto"/>
        <w:jc w:val="both"/>
        <w:rPr>
          <w:sz w:val="18"/>
          <w:szCs w:val="20"/>
        </w:rPr>
      </w:pPr>
    </w:p>
    <w:sectPr w:rsidR="00292786" w:rsidRPr="00554939" w:rsidSect="002A33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4C2F" w14:textId="77777777" w:rsidR="00BD6605" w:rsidRDefault="00BD6605" w:rsidP="00BD6605">
      <w:pPr>
        <w:spacing w:after="0" w:line="240" w:lineRule="auto"/>
      </w:pPr>
      <w:r>
        <w:separator/>
      </w:r>
    </w:p>
  </w:endnote>
  <w:endnote w:type="continuationSeparator" w:id="0">
    <w:p w14:paraId="6C749D12" w14:textId="77777777" w:rsidR="00BD6605" w:rsidRDefault="00BD6605" w:rsidP="00BD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B5A7" w14:textId="77777777" w:rsidR="00BD6605" w:rsidRPr="00E441F2" w:rsidRDefault="00BD6605" w:rsidP="00BD6605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E441F2">
      <w:rPr>
        <w:rFonts w:ascii="DINOT-Light" w:hAnsi="DINOT-Light"/>
        <w:b/>
        <w:sz w:val="18"/>
        <w:lang w:val="fr-CH"/>
      </w:rPr>
      <w:t>ZENITH</w:t>
    </w:r>
    <w:r w:rsidRPr="00E441F2">
      <w:rPr>
        <w:rFonts w:ascii="DINOT-Light" w:hAnsi="DINOT-Light"/>
        <w:sz w:val="18"/>
        <w:lang w:val="fr-CH"/>
      </w:rPr>
      <w:t xml:space="preserve"> | www.zenith-watches.com | Rue des </w:t>
    </w:r>
    <w:proofErr w:type="spellStart"/>
    <w:r w:rsidRPr="00E441F2">
      <w:rPr>
        <w:rFonts w:ascii="DINOT-Light" w:hAnsi="DINOT-Light"/>
        <w:sz w:val="18"/>
        <w:lang w:val="fr-CH"/>
      </w:rPr>
      <w:t>Billodes</w:t>
    </w:r>
    <w:proofErr w:type="spellEnd"/>
    <w:r w:rsidRPr="00E441F2">
      <w:rPr>
        <w:rFonts w:ascii="DINOT-Light" w:hAnsi="DINOT-Light"/>
        <w:sz w:val="18"/>
        <w:lang w:val="fr-CH"/>
      </w:rPr>
      <w:t xml:space="preserve"> 34-36 | CH-2400 Le Locle</w:t>
    </w:r>
  </w:p>
  <w:p w14:paraId="31ECE760" w14:textId="5811FB14" w:rsidR="00BD6605" w:rsidRPr="00BD6605" w:rsidRDefault="00BD6605" w:rsidP="00BD6605">
    <w:pPr>
      <w:pStyle w:val="Pieddepage"/>
      <w:jc w:val="center"/>
      <w:rPr>
        <w:sz w:val="18"/>
        <w:szCs w:val="18"/>
      </w:rPr>
    </w:pPr>
    <w:r w:rsidRPr="00E441F2">
      <w:rPr>
        <w:rFonts w:ascii="DINOT-Light" w:hAnsi="DINOT-Light"/>
        <w:sz w:val="18"/>
      </w:rPr>
      <w:t xml:space="preserve">Relações Públicas Internacionais: Minh-Tan Bui – E-mail: </w:t>
    </w:r>
    <w:hyperlink r:id="rId1" w:history="1">
      <w:r w:rsidRPr="00E441F2">
        <w:rPr>
          <w:rStyle w:val="Lienhypertexte"/>
          <w:rFonts w:ascii="DINOT-Light" w:hAnsi="DINOT-Light"/>
          <w:color w:val="auto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32A3E" w14:textId="77777777" w:rsidR="00BD6605" w:rsidRDefault="00BD6605" w:rsidP="00BD6605">
      <w:pPr>
        <w:spacing w:after="0" w:line="240" w:lineRule="auto"/>
      </w:pPr>
      <w:r>
        <w:separator/>
      </w:r>
    </w:p>
  </w:footnote>
  <w:footnote w:type="continuationSeparator" w:id="0">
    <w:p w14:paraId="12ECCE4B" w14:textId="77777777" w:rsidR="00BD6605" w:rsidRDefault="00BD6605" w:rsidP="00BD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909C" w14:textId="61DB7980" w:rsidR="00E441F2" w:rsidRDefault="00E441F2">
    <w:pPr>
      <w:pStyle w:val="En-tte"/>
    </w:pPr>
    <w:r>
      <w:tab/>
    </w:r>
    <w:r>
      <w:rPr>
        <w:noProof/>
      </w:rPr>
      <w:drawing>
        <wp:inline distT="0" distB="0" distL="0" distR="0" wp14:anchorId="5C45885F" wp14:editId="728D7FD9">
          <wp:extent cx="1581150" cy="7905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D10728" w14:textId="77777777" w:rsidR="00E441F2" w:rsidRDefault="00E441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8F"/>
    <w:rsid w:val="0001178D"/>
    <w:rsid w:val="000A422A"/>
    <w:rsid w:val="000B080E"/>
    <w:rsid w:val="001124B5"/>
    <w:rsid w:val="001135BE"/>
    <w:rsid w:val="0012318F"/>
    <w:rsid w:val="00123B8D"/>
    <w:rsid w:val="00132788"/>
    <w:rsid w:val="0015289D"/>
    <w:rsid w:val="00154390"/>
    <w:rsid w:val="00161A39"/>
    <w:rsid w:val="00170B20"/>
    <w:rsid w:val="00197D7E"/>
    <w:rsid w:val="002621E9"/>
    <w:rsid w:val="00267D7D"/>
    <w:rsid w:val="00292786"/>
    <w:rsid w:val="002A2C1D"/>
    <w:rsid w:val="002A3397"/>
    <w:rsid w:val="002F1534"/>
    <w:rsid w:val="00307F39"/>
    <w:rsid w:val="00325E45"/>
    <w:rsid w:val="00367262"/>
    <w:rsid w:val="0038234D"/>
    <w:rsid w:val="004505EC"/>
    <w:rsid w:val="00517A7C"/>
    <w:rsid w:val="005216D1"/>
    <w:rsid w:val="00554939"/>
    <w:rsid w:val="00597773"/>
    <w:rsid w:val="00601860"/>
    <w:rsid w:val="006358E4"/>
    <w:rsid w:val="00757721"/>
    <w:rsid w:val="00770698"/>
    <w:rsid w:val="007D4031"/>
    <w:rsid w:val="007F45A8"/>
    <w:rsid w:val="008A2B9F"/>
    <w:rsid w:val="0091037D"/>
    <w:rsid w:val="00954937"/>
    <w:rsid w:val="009B4A8F"/>
    <w:rsid w:val="009C6A1E"/>
    <w:rsid w:val="009F29F0"/>
    <w:rsid w:val="00A01FBE"/>
    <w:rsid w:val="00A129AB"/>
    <w:rsid w:val="00A5181D"/>
    <w:rsid w:val="00B26661"/>
    <w:rsid w:val="00B612B3"/>
    <w:rsid w:val="00B97A13"/>
    <w:rsid w:val="00BA1BAD"/>
    <w:rsid w:val="00BC1E3F"/>
    <w:rsid w:val="00BD6605"/>
    <w:rsid w:val="00CB7DA1"/>
    <w:rsid w:val="00CE04C0"/>
    <w:rsid w:val="00D470C5"/>
    <w:rsid w:val="00DA1D33"/>
    <w:rsid w:val="00E201A0"/>
    <w:rsid w:val="00E441F2"/>
    <w:rsid w:val="00E525F2"/>
    <w:rsid w:val="00E54112"/>
    <w:rsid w:val="00E5528F"/>
    <w:rsid w:val="00EA54C3"/>
    <w:rsid w:val="00EC6359"/>
    <w:rsid w:val="00EF5A67"/>
    <w:rsid w:val="00F14FE3"/>
    <w:rsid w:val="00F31FFD"/>
    <w:rsid w:val="00FA5373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A8730"/>
  <w15:chartTrackingRefBased/>
  <w15:docId w15:val="{5C5FA477-8211-414B-B774-686AC5E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4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91037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037D"/>
    <w:rPr>
      <w:color w:val="0000FF"/>
      <w:u w:val="single"/>
    </w:rPr>
  </w:style>
  <w:style w:type="paragraph" w:customStyle="1" w:styleId="rtejustify">
    <w:name w:val="rtejustify"/>
    <w:basedOn w:val="Normal"/>
    <w:rsid w:val="001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En-tte">
    <w:name w:val="header"/>
    <w:basedOn w:val="Normal"/>
    <w:link w:val="En-tt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605"/>
  </w:style>
  <w:style w:type="paragraph" w:styleId="Pieddepage">
    <w:name w:val="footer"/>
    <w:basedOn w:val="Normal"/>
    <w:link w:val="Pieddepag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605"/>
  </w:style>
  <w:style w:type="paragraph" w:styleId="Textedebulles">
    <w:name w:val="Balloon Text"/>
    <w:basedOn w:val="Normal"/>
    <w:link w:val="TextedebullesCar"/>
    <w:uiPriority w:val="99"/>
    <w:semiHidden/>
    <w:unhideWhenUsed/>
    <w:rsid w:val="0036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Transcribe</dc:creator>
  <cp:keywords/>
  <dc:description/>
  <cp:lastModifiedBy>Marina Sandoz</cp:lastModifiedBy>
  <cp:revision>10</cp:revision>
  <cp:lastPrinted>2018-12-03T12:04:00Z</cp:lastPrinted>
  <dcterms:created xsi:type="dcterms:W3CDTF">2018-12-17T14:47:00Z</dcterms:created>
  <dcterms:modified xsi:type="dcterms:W3CDTF">2019-01-11T10:00:00Z</dcterms:modified>
  <cp:category/>
</cp:coreProperties>
</file>