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655D32" w14:textId="03570743" w:rsidR="00642714" w:rsidRPr="00993084" w:rsidRDefault="00C2575C" w:rsidP="00596864">
      <w:pPr>
        <w:spacing w:line="276" w:lineRule="auto"/>
        <w:jc w:val="center"/>
        <w:rPr>
          <w:rFonts w:ascii="Avenir Next" w:hAnsi="Avenir Next"/>
          <w:b/>
          <w:szCs w:val="28"/>
        </w:rPr>
      </w:pPr>
      <w:r>
        <w:rPr>
          <w:rFonts w:ascii="Avenir Next" w:hAnsi="Avenir Next"/>
          <w:b/>
        </w:rPr>
        <w:t>DEFY EL PRIMERO FUSEE TOURBILLON</w:t>
      </w:r>
    </w:p>
    <w:p w14:paraId="5D3FE0B9" w14:textId="77777777" w:rsidR="002312FC" w:rsidRDefault="002312FC" w:rsidP="00993084">
      <w:pPr>
        <w:spacing w:line="276" w:lineRule="auto"/>
        <w:jc w:val="both"/>
        <w:rPr>
          <w:rFonts w:ascii="Avenir Next" w:hAnsi="Avenir Next"/>
          <w:b/>
          <w:sz w:val="18"/>
          <w:szCs w:val="22"/>
        </w:rPr>
      </w:pPr>
    </w:p>
    <w:p w14:paraId="29C195D2" w14:textId="0BDAA02F" w:rsidR="009862F8" w:rsidRPr="00380225" w:rsidRDefault="00D56530" w:rsidP="00993084">
      <w:pPr>
        <w:spacing w:line="276" w:lineRule="auto"/>
        <w:jc w:val="both"/>
        <w:rPr>
          <w:rFonts w:ascii="Avenir Next" w:hAnsi="Avenir Next"/>
          <w:b/>
          <w:sz w:val="18"/>
          <w:szCs w:val="22"/>
        </w:rPr>
      </w:pPr>
      <w:r>
        <w:rPr>
          <w:rFonts w:ascii="Avenir Next" w:hAnsi="Avenir Next"/>
          <w:b/>
          <w:sz w:val="18"/>
        </w:rPr>
        <w:t>Desde os primórdios da precisão na contagem do tempo, os relojoeiros buscam produzir peças que ofereçam desempenho inabalável ao usar a “força constante”. A Zenith reinterpreta o mecanismo "fuso e corrente" de força constante em um estilo modernista no novo DEFY Fusee Tourbillon. Abrigando o novo calibre El Primero 4805 SK, um movimento de corda manual que segue o código DEFY da arquitetura de movimento vanguardista com um impacto tridimensional aberto, o DEFY Fusee Tourbillon está disponível em duas versões: carbono ou platina.</w:t>
      </w:r>
    </w:p>
    <w:p w14:paraId="7E756168" w14:textId="77777777" w:rsidR="002312FC" w:rsidRDefault="002312FC" w:rsidP="006305DB">
      <w:pPr>
        <w:spacing w:line="276" w:lineRule="auto"/>
        <w:rPr>
          <w:rFonts w:ascii="Avenir Next" w:hAnsi="Avenir Next"/>
          <w:b/>
          <w:sz w:val="18"/>
          <w:szCs w:val="22"/>
        </w:rPr>
      </w:pPr>
    </w:p>
    <w:p w14:paraId="475C8975" w14:textId="769CF524" w:rsidR="008A730D" w:rsidRPr="00380225" w:rsidRDefault="00F92729" w:rsidP="006305DB">
      <w:pPr>
        <w:spacing w:line="276" w:lineRule="auto"/>
        <w:rPr>
          <w:rFonts w:ascii="Avenir Next" w:hAnsi="Avenir Next"/>
          <w:b/>
          <w:sz w:val="18"/>
          <w:szCs w:val="22"/>
        </w:rPr>
      </w:pPr>
      <w:r>
        <w:rPr>
          <w:rFonts w:ascii="Avenir Next" w:hAnsi="Avenir Next"/>
          <w:b/>
          <w:sz w:val="18"/>
        </w:rPr>
        <w:t>Uma nova visão da alta relojoaria</w:t>
      </w:r>
    </w:p>
    <w:p w14:paraId="0AC28092" w14:textId="77777777" w:rsidR="006305DB" w:rsidRDefault="004600B7" w:rsidP="006305DB">
      <w:pPr>
        <w:spacing w:line="276" w:lineRule="auto"/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/>
          <w:sz w:val="18"/>
        </w:rPr>
        <w:t>À primeira vista, já fica claro que o calibre do DEFY Fusee Tourbillon é algo extraordinário. O projeto mencionado das pontes é amplificado por seu tratamento bicolor, onde a superfície acetinada tem um tratamento preto, enquanto seus lados polidos são um tom de ródio cinza mais claro. A disposição das pontes oferece um layout equilibrado das várias funções e complicações. Na metade superior do movimento, é possível admirar o exclusivo mecanismo de fuso e corrente de força constante. A corrente, que consiste em 575 componentes individualmente montados à mão, recebe um ousado tratamento azulado, algo inédito para um relógio de pulso com um sistema de fuso e corrente. No lado oposto, às 6 horas, uma gaiola de turbilhão com uma construção inteiramente nova, com a roda de equilíbrio descentralizada, faz uma rotação completa a cada 60 segundos. Como a corrente, a gaiola do turbilhão é embelezada com uma impressionante cor azul, destacando o efeito visual das peças móveis exclusivas do DEFY Fusee Tourbillon. Posicionado na borda do mostrador entre 4 e 5 horas, o ponteiro vermelho indica a reserva de marcha, um recurso muito útil para a corda manual do DEFY Fusee Tourbillon com sua reserva de marcha de 50 horas.</w:t>
      </w:r>
    </w:p>
    <w:p w14:paraId="3499820A" w14:textId="62CB19E8" w:rsidR="004600B7" w:rsidRPr="006305DB" w:rsidRDefault="004600B7" w:rsidP="006305DB">
      <w:pPr>
        <w:spacing w:line="276" w:lineRule="auto"/>
        <w:jc w:val="both"/>
        <w:rPr>
          <w:rFonts w:ascii="Avenir Next" w:hAnsi="Avenir Next"/>
          <w:sz w:val="18"/>
          <w:szCs w:val="18"/>
        </w:rPr>
      </w:pPr>
    </w:p>
    <w:p w14:paraId="48E9B48C" w14:textId="77777777" w:rsidR="006305DB" w:rsidRDefault="009559E9" w:rsidP="006305DB">
      <w:pPr>
        <w:spacing w:line="276" w:lineRule="auto"/>
        <w:jc w:val="both"/>
        <w:rPr>
          <w:rFonts w:ascii="Avenir Next" w:hAnsi="Avenir Next"/>
          <w:b/>
          <w:sz w:val="18"/>
          <w:szCs w:val="22"/>
        </w:rPr>
      </w:pPr>
      <w:r>
        <w:rPr>
          <w:rFonts w:ascii="Avenir Next" w:hAnsi="Avenir Next"/>
          <w:b/>
          <w:sz w:val="18"/>
        </w:rPr>
        <w:t>Um movimento extraordinário – duas execuções completamente diferentes</w:t>
      </w:r>
    </w:p>
    <w:p w14:paraId="1168BA6E" w14:textId="186F6AE3" w:rsidR="008A730D" w:rsidRDefault="00DE4BE2" w:rsidP="006305DB">
      <w:pPr>
        <w:spacing w:line="276" w:lineRule="auto"/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/>
          <w:sz w:val="18"/>
        </w:rPr>
        <w:t>Quando o tambor da mola principal do movimento mecânico se desenrola, o torque que ele libera para a peça reguladora reduz, resultando em um desempenho cronometricamente menos eficiente do movimento. Uma solução secular para combater isso e alcançar a força constante está dentro da fonte de energia e sua transmissão. Conhecido como o sistema “fusee and chain” (fuso e corrente), ele conta com uma corrente em miniatura enrolada em um fuso cônico e está acoplado ao barril da mola principal. Conforme a mola principal desenrola, a corrente vai se enrolando em torno do tambor, saindo da ampla base cônico largo do fuso. A maior a rotação do movimento devido ao fuso compensa o enfraquecimento da tração da mola principal, mantendo o torque e, por consequência, a amplitude da peça reguladora constante através da duração da autonomia da mola principal.</w:t>
      </w:r>
    </w:p>
    <w:p w14:paraId="056439B8" w14:textId="77777777" w:rsidR="002312FC" w:rsidRPr="00380225" w:rsidRDefault="002312FC" w:rsidP="006305DB">
      <w:pPr>
        <w:spacing w:line="276" w:lineRule="auto"/>
        <w:jc w:val="both"/>
        <w:rPr>
          <w:rFonts w:ascii="Avenir Next" w:hAnsi="Avenir Next"/>
          <w:b/>
          <w:sz w:val="18"/>
          <w:szCs w:val="22"/>
        </w:rPr>
      </w:pPr>
    </w:p>
    <w:p w14:paraId="53FCD0EE" w14:textId="6B408C5E" w:rsidR="004600B7" w:rsidRPr="00380225" w:rsidRDefault="00526906" w:rsidP="006305DB">
      <w:pPr>
        <w:spacing w:line="276" w:lineRule="auto"/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/>
          <w:sz w:val="18"/>
        </w:rPr>
        <w:t>Combinando o mecanismo de fuso e corrente com uma peça reguladora do turbilhão, a Zenith coloca a precisão como a frente de sua abordagem exclusiva à alta relojoaria. Destacando a proeza técnica e estética exclusiva da peça, o DEFY Fusee Tourbillon é produzido em duas edições diferentes.</w:t>
      </w:r>
    </w:p>
    <w:p w14:paraId="3548BA6D" w14:textId="77777777" w:rsidR="002312FC" w:rsidRDefault="002312FC" w:rsidP="006305DB">
      <w:pPr>
        <w:spacing w:line="276" w:lineRule="auto"/>
        <w:jc w:val="both"/>
        <w:rPr>
          <w:rFonts w:ascii="Avenir Next" w:hAnsi="Avenir Next"/>
          <w:sz w:val="18"/>
          <w:szCs w:val="18"/>
        </w:rPr>
      </w:pPr>
    </w:p>
    <w:p w14:paraId="35B0BCB6" w14:textId="7107049C" w:rsidR="004600B7" w:rsidRPr="00380225" w:rsidRDefault="004600B7" w:rsidP="006305DB">
      <w:pPr>
        <w:spacing w:line="276" w:lineRule="auto"/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/>
          <w:sz w:val="18"/>
        </w:rPr>
        <w:t>A primeira versão apresenta uma caixa leve, porém, robusta, coroa e fecho de fivela em carbono. O tratamento de fibra de carbono se estende até mesmo ao mostrador aberto, com o elemento esquelético central e o anel de flange ao redor que refletem o brilho único da fibra de carbono. Para completar o look high-tech, o DEFY Fusee Tourbillon em carbono é montado em uma borracha preta com um efeito de tecido “Cordura” e costura azul. É fornecida uma segunda pulseira em borracha preta com um efeito de carbono entrelaçado. O DEFY Fusee Tourbillon em carbono está limitado a 50 peças.</w:t>
      </w:r>
    </w:p>
    <w:p w14:paraId="153ACD17" w14:textId="77777777" w:rsidR="002312FC" w:rsidRDefault="002312FC" w:rsidP="006305DB">
      <w:pPr>
        <w:spacing w:line="276" w:lineRule="auto"/>
        <w:jc w:val="both"/>
        <w:rPr>
          <w:rFonts w:ascii="Avenir Next" w:hAnsi="Avenir Next"/>
          <w:sz w:val="18"/>
          <w:szCs w:val="18"/>
        </w:rPr>
      </w:pPr>
    </w:p>
    <w:p w14:paraId="21E2B5F3" w14:textId="4224B4D9" w:rsidR="004600B7" w:rsidRPr="00380225" w:rsidRDefault="004600B7" w:rsidP="006305DB">
      <w:pPr>
        <w:spacing w:line="276" w:lineRule="auto"/>
        <w:jc w:val="both"/>
        <w:rPr>
          <w:rFonts w:ascii="Avenir Next" w:hAnsi="Avenir Next"/>
          <w:sz w:val="18"/>
          <w:szCs w:val="18"/>
          <w:u w:val="single"/>
        </w:rPr>
      </w:pPr>
      <w:r>
        <w:rPr>
          <w:rFonts w:ascii="Avenir Next" w:hAnsi="Avenir Next"/>
          <w:sz w:val="18"/>
        </w:rPr>
        <w:t>A segunda versão do DEFY Fusee Tourbillon está limitada a apenas 10 peças e é feita em platina. O movimento exposto proporciona uma visão voluptuosa e vibrante, em que a mistura de materiais e tons adicionam profundidade visual: desde a placa de base do movimento na cor antracito até a corrente azulada e a gaiola do turbilhão sob um conjunto de pontes geométricas em dois tons. A pulseira é feita em borracha preta com revestimento de couro de crocodilo preto no centro.</w:t>
      </w:r>
    </w:p>
    <w:p w14:paraId="20163910" w14:textId="116AF190" w:rsidR="004600B7" w:rsidRPr="00380225" w:rsidRDefault="004600B7" w:rsidP="006305DB">
      <w:pPr>
        <w:spacing w:line="276" w:lineRule="auto"/>
        <w:jc w:val="both"/>
        <w:rPr>
          <w:rFonts w:ascii="Avenir Next" w:hAnsi="Avenir Next"/>
          <w:sz w:val="18"/>
          <w:szCs w:val="18"/>
        </w:rPr>
      </w:pPr>
    </w:p>
    <w:p w14:paraId="0249ECC4" w14:textId="77777777" w:rsidR="004600B7" w:rsidRDefault="004600B7" w:rsidP="006305DB">
      <w:pPr>
        <w:tabs>
          <w:tab w:val="left" w:pos="8564"/>
        </w:tabs>
        <w:spacing w:line="276" w:lineRule="auto"/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/>
          <w:sz w:val="18"/>
        </w:rPr>
        <w:t>Embora cada versão vá ter um apelo a um público diferente de aficionado por relógios vanguardista, uma coisa é certa: O DEFY Fusee Tourbillon solidifica a posição da Zenith como líder na criação do futuro da relojoaria.</w:t>
      </w:r>
    </w:p>
    <w:p w14:paraId="3194117B" w14:textId="77777777" w:rsidR="002312FC" w:rsidRPr="00380225" w:rsidRDefault="002312FC" w:rsidP="006305DB">
      <w:pPr>
        <w:tabs>
          <w:tab w:val="left" w:pos="8564"/>
        </w:tabs>
        <w:spacing w:line="276" w:lineRule="auto"/>
        <w:jc w:val="both"/>
        <w:rPr>
          <w:rFonts w:ascii="Avenir Next" w:hAnsi="Avenir Next"/>
          <w:sz w:val="18"/>
          <w:szCs w:val="18"/>
        </w:rPr>
      </w:pPr>
    </w:p>
    <w:p w14:paraId="3A1F8A08" w14:textId="77777777" w:rsidR="00261030" w:rsidRPr="00380225" w:rsidRDefault="00261030" w:rsidP="006305DB">
      <w:pPr>
        <w:tabs>
          <w:tab w:val="left" w:pos="8564"/>
        </w:tabs>
        <w:spacing w:line="276" w:lineRule="auto"/>
        <w:jc w:val="both"/>
        <w:rPr>
          <w:rFonts w:ascii="Avenir Next" w:hAnsi="Avenir Next" w:cstheme="majorHAnsi"/>
          <w:b/>
          <w:color w:val="000000" w:themeColor="text1"/>
          <w:sz w:val="18"/>
          <w:szCs w:val="18"/>
        </w:rPr>
      </w:pPr>
    </w:p>
    <w:p w14:paraId="728EECC4" w14:textId="690CCD67" w:rsidR="008A730D" w:rsidRPr="00380225" w:rsidRDefault="00642714" w:rsidP="006305DB">
      <w:pPr>
        <w:tabs>
          <w:tab w:val="left" w:pos="8564"/>
        </w:tabs>
        <w:spacing w:line="276" w:lineRule="auto"/>
        <w:jc w:val="both"/>
        <w:rPr>
          <w:rFonts w:ascii="Avenir Next" w:hAnsi="Avenir Next" w:cstheme="majorHAnsi"/>
          <w:b/>
          <w:color w:val="000000" w:themeColor="text1"/>
          <w:sz w:val="18"/>
          <w:szCs w:val="18"/>
        </w:rPr>
      </w:pPr>
      <w:r>
        <w:rPr>
          <w:rFonts w:ascii="Avenir Next" w:hAnsi="Avenir Next" w:cstheme="majorHAnsi"/>
          <w:b/>
          <w:color w:val="000000" w:themeColor="text1"/>
          <w:sz w:val="18"/>
        </w:rPr>
        <w:t>ZENITH: O futuro da relojoaria suíça</w:t>
      </w:r>
      <w:bookmarkStart w:id="0" w:name="_Hlk5890525"/>
    </w:p>
    <w:p w14:paraId="402B9CEB" w14:textId="08069F75" w:rsidR="00642714" w:rsidRDefault="00642714" w:rsidP="006305DB">
      <w:pPr>
        <w:tabs>
          <w:tab w:val="left" w:pos="8564"/>
        </w:tabs>
        <w:spacing w:line="276" w:lineRule="auto"/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/>
          <w:sz w:val="18"/>
        </w:rPr>
        <w:t>Tendo a inovação como seu lema, a Zenith apresenta movimentos excepcionais que são desenvolvidos e fabricados internamente para todos os seus relógios como, por exemplo, o DEFY Inventor com seu oscilador monolítico de precisão excepcional ou o DEFY El Primero 21 com seu cronógrafo de centésimo de segundo de alta frequência. Desde a sua criação em 1865, a Zenith redefiniu consistentemente as noções de precisão e inovação, incluindo o primeiro “Pilot Watch” nos primórdios da aviação e o primeiro calibre de cronógrafo automático “El Primero” produzido em série. Sempre um passo à frente, a Zenith está escrevendo um novo capítulo em seu legado único, estabelecendo novos padrões para desempenho e designs inspirados. A Zenith está aqui para moldar o futuro da relojoaria suíça, lado a lado com aqueles que ousam desafiar o próprio tempo e ir além.</w:t>
      </w:r>
    </w:p>
    <w:p w14:paraId="0461E055" w14:textId="77777777" w:rsidR="002312FC" w:rsidRDefault="002312FC">
      <w:pPr>
        <w:rPr>
          <w:rFonts w:ascii="Avenir Next" w:hAnsi="Avenir Next" w:cs="Antonio-Regular"/>
          <w:b/>
        </w:rPr>
      </w:pPr>
      <w:r>
        <w:rPr>
          <w:rFonts w:ascii="Avenir Next" w:hAnsi="Avenir Next" w:cs="Antonio-Regular"/>
        </w:rPr>
        <w:br w:type="page"/>
      </w:r>
    </w:p>
    <w:p w14:paraId="00012A5F" w14:textId="7826D262" w:rsidR="009732E8" w:rsidRPr="00EF3CC1" w:rsidRDefault="00EF3CC1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Antonio-Regular"/>
          <w:b/>
        </w:rPr>
      </w:pPr>
      <w:r>
        <w:rPr>
          <w:rFonts w:ascii="Avenir Next" w:hAnsi="Avenir Next" w:cs="Antonio-Regular"/>
          <w:b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2581CF8" wp14:editId="797596C5">
            <wp:simplePos x="0" y="0"/>
            <wp:positionH relativeFrom="margin">
              <wp:posOffset>4020820</wp:posOffset>
            </wp:positionH>
            <wp:positionV relativeFrom="paragraph">
              <wp:posOffset>7620</wp:posOffset>
            </wp:positionV>
            <wp:extent cx="1889760" cy="2694305"/>
            <wp:effectExtent l="0" t="0" r="0" b="0"/>
            <wp:wrapTight wrapText="bothSides">
              <wp:wrapPolygon edited="0">
                <wp:start x="6968" y="1527"/>
                <wp:lineTo x="6315" y="4276"/>
                <wp:lineTo x="4573" y="6720"/>
                <wp:lineTo x="3484" y="9163"/>
                <wp:lineTo x="3919" y="11607"/>
                <wp:lineTo x="5444" y="14050"/>
                <wp:lineTo x="6532" y="16494"/>
                <wp:lineTo x="6750" y="20465"/>
                <wp:lineTo x="6968" y="20770"/>
                <wp:lineTo x="14371" y="20770"/>
                <wp:lineTo x="14589" y="20465"/>
                <wp:lineTo x="15024" y="16494"/>
                <wp:lineTo x="16331" y="14050"/>
                <wp:lineTo x="18073" y="11607"/>
                <wp:lineTo x="19161" y="9621"/>
                <wp:lineTo x="18944" y="9163"/>
                <wp:lineTo x="16766" y="6720"/>
                <wp:lineTo x="15024" y="4276"/>
                <wp:lineTo x="14371" y="1527"/>
                <wp:lineTo x="6968" y="1527"/>
              </wp:wrapPolygon>
            </wp:wrapTight>
            <wp:docPr id="4" name="Picture 4" descr="\\WJEZEN-SCHLOE\Departement_MarCom_Dossiers\_Communication 2019\PR\1. PRESS KITS\1. POST BASELWORLD\DEFY FUSEE CHAINE TOURBILLON\PICS\10.9000.4805.78.R9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JEZEN-SCHLOE\Departement_MarCom_Dossiers\_Communication 2019\PR\1. PRESS KITS\1. POST BASELWORLD\DEFY FUSEE CHAINE TOURBILLON\PICS\10.9000.4805.78.R91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venir Next" w:hAnsi="Avenir Next" w:cs="Antonio-Regular"/>
          <w:b/>
        </w:rPr>
        <w:t>DEFY FUSEE TOURBILLON</w:t>
      </w:r>
    </w:p>
    <w:p w14:paraId="18D890D0" w14:textId="28A7B2FD" w:rsidR="009732E8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Antonio-Regular"/>
          <w:sz w:val="18"/>
          <w:szCs w:val="18"/>
        </w:rPr>
      </w:pPr>
      <w:r>
        <w:rPr>
          <w:rFonts w:ascii="Avenir Next" w:hAnsi="Avenir Next" w:cs="Antonio-Regular"/>
          <w:sz w:val="18"/>
        </w:rPr>
        <w:t>EDIÇÃO LIMITADA A 50</w:t>
      </w:r>
    </w:p>
    <w:p w14:paraId="4C90F2DD" w14:textId="77777777" w:rsidR="00EF3CC1" w:rsidRPr="00EF3CC1" w:rsidRDefault="00EF3CC1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Antonio-Regular"/>
          <w:sz w:val="18"/>
          <w:szCs w:val="18"/>
        </w:rPr>
      </w:pPr>
    </w:p>
    <w:p w14:paraId="53AA8AB2" w14:textId="17F38974" w:rsidR="009732E8" w:rsidRPr="00EF3CC1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Arial"/>
          <w:bCs/>
          <w:sz w:val="18"/>
          <w:szCs w:val="18"/>
        </w:rPr>
      </w:pPr>
      <w:r>
        <w:rPr>
          <w:rFonts w:ascii="Avenir Next" w:hAnsi="Avenir Next" w:cs="Antonio-Regular"/>
          <w:sz w:val="18"/>
        </w:rPr>
        <w:t xml:space="preserve">Referência: </w:t>
      </w:r>
      <w:r>
        <w:rPr>
          <w:rFonts w:ascii="Avenir Next" w:hAnsi="Avenir Next" w:cs="Antonio-Regular"/>
          <w:sz w:val="18"/>
        </w:rPr>
        <w:tab/>
      </w:r>
      <w:r>
        <w:rPr>
          <w:rFonts w:ascii="Avenir Next" w:hAnsi="Avenir Next" w:cs="Arial"/>
          <w:sz w:val="18"/>
        </w:rPr>
        <w:t>10.9000.4805/78.R916</w:t>
      </w:r>
    </w:p>
    <w:p w14:paraId="5097C413" w14:textId="46690BFA" w:rsidR="009732E8" w:rsidRPr="00EF3CC1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Antonio-Regular"/>
          <w:sz w:val="18"/>
          <w:szCs w:val="18"/>
        </w:rPr>
      </w:pPr>
    </w:p>
    <w:p w14:paraId="6949FEF1" w14:textId="458ECF4E" w:rsidR="009732E8" w:rsidRPr="00EF3CC1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Antonio-Regular"/>
          <w:b/>
          <w:sz w:val="18"/>
          <w:szCs w:val="18"/>
        </w:rPr>
      </w:pPr>
      <w:r>
        <w:rPr>
          <w:rFonts w:ascii="Avenir Next" w:hAnsi="Avenir Next" w:cs="Antonio-Regular"/>
          <w:b/>
          <w:sz w:val="18"/>
        </w:rPr>
        <w:t>PONTOS DE VENDAS EXCLUSIVOS</w:t>
      </w:r>
    </w:p>
    <w:p w14:paraId="56C64EEC" w14:textId="1A360123" w:rsidR="009732E8" w:rsidRPr="00EF3CC1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OpenSans-CondensedLight"/>
          <w:sz w:val="18"/>
        </w:rPr>
        <w:t>Modelo totalmente em carbono: Caixa, coroa e fecho de fivela</w:t>
      </w:r>
    </w:p>
    <w:p w14:paraId="10CE98BE" w14:textId="5DBED509" w:rsidR="009732E8" w:rsidRPr="00EF3CC1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OpenSans-CondensedLight"/>
          <w:sz w:val="18"/>
        </w:rPr>
        <w:t>Combinação exclusiva: Calibre turbilhão de fuso e corrente</w:t>
      </w:r>
    </w:p>
    <w:p w14:paraId="60C65ECE" w14:textId="33A8D3E5" w:rsidR="009732E8" w:rsidRPr="00EF3CC1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OpenSans-CondensedLight"/>
          <w:sz w:val="18"/>
        </w:rPr>
        <w:t>Corrente feita com 575 componentes</w:t>
      </w:r>
    </w:p>
    <w:p w14:paraId="352FDE00" w14:textId="7FBC1E05" w:rsidR="009732E8" w:rsidRPr="00EF3CC1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OpenSans-CondensedLight"/>
          <w:sz w:val="18"/>
        </w:rPr>
        <w:t>Turbilhão El Primero com corda manual e escapamento fuso e corrente</w:t>
      </w:r>
    </w:p>
    <w:p w14:paraId="086485B0" w14:textId="17A3B6BF" w:rsidR="009732E8" w:rsidRPr="00EF3CC1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OpenSans-CondensedLight"/>
          <w:sz w:val="18"/>
        </w:rPr>
        <w:t>Transmissão de fuso e corrente de força constante ligada ao tambor</w:t>
      </w:r>
    </w:p>
    <w:p w14:paraId="136962B1" w14:textId="73521809" w:rsidR="009732E8" w:rsidRPr="00EF3CC1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Antonio-Regular"/>
          <w:sz w:val="18"/>
          <w:szCs w:val="18"/>
        </w:rPr>
      </w:pPr>
    </w:p>
    <w:p w14:paraId="4CFBEB27" w14:textId="19C6B85F" w:rsidR="009732E8" w:rsidRPr="00EF3CC1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Antonio-Regular"/>
          <w:b/>
          <w:sz w:val="18"/>
          <w:szCs w:val="18"/>
        </w:rPr>
      </w:pPr>
      <w:r>
        <w:rPr>
          <w:rFonts w:ascii="Avenir Next" w:hAnsi="Avenir Next" w:cs="Antonio-Regular"/>
          <w:b/>
          <w:sz w:val="18"/>
        </w:rPr>
        <w:t xml:space="preserve">MOVIMENTO </w:t>
      </w:r>
    </w:p>
    <w:p w14:paraId="7779229D" w14:textId="459DF318" w:rsidR="009732E8" w:rsidRPr="00EF3CC1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OpenSans-CondensedLight"/>
          <w:sz w:val="18"/>
        </w:rPr>
        <w:t>Movimento El Primero 4805 SK, Manual</w:t>
      </w:r>
    </w:p>
    <w:p w14:paraId="7D31CD01" w14:textId="57FF7A2E" w:rsidR="009732E8" w:rsidRPr="00EF3CC1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OpenSans-CondensedLight"/>
          <w:sz w:val="18"/>
        </w:rPr>
        <w:t>Calibre 16½``` (Diâmetro: 37 mm)</w:t>
      </w:r>
    </w:p>
    <w:p w14:paraId="7A9295D2" w14:textId="65C8D535" w:rsidR="009732E8" w:rsidRPr="00EF3CC1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OpenSans-CondensedLight"/>
          <w:sz w:val="18"/>
        </w:rPr>
        <w:t>Espessura do movimento: 5,9 mm</w:t>
      </w:r>
    </w:p>
    <w:p w14:paraId="648AA03C" w14:textId="7DF0316E" w:rsidR="009732E8" w:rsidRPr="00EF3CC1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OpenSans-CondensedLight"/>
          <w:sz w:val="18"/>
        </w:rPr>
        <w:t>Componentes: 807</w:t>
      </w:r>
    </w:p>
    <w:p w14:paraId="3531FCE2" w14:textId="274F73D0" w:rsidR="009732E8" w:rsidRPr="00EF3CC1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OpenSans-CondensedLight"/>
          <w:sz w:val="18"/>
        </w:rPr>
        <w:t>Assinatura exclusiva bicolor nas placas e pontes</w:t>
      </w:r>
    </w:p>
    <w:p w14:paraId="59BF30D5" w14:textId="7FADDA43" w:rsidR="009732E8" w:rsidRPr="00EF3CC1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OpenSans-CondensedLight"/>
          <w:sz w:val="18"/>
        </w:rPr>
        <w:t>Joias: 34</w:t>
      </w:r>
    </w:p>
    <w:p w14:paraId="16C14734" w14:textId="77777777" w:rsidR="009732E8" w:rsidRPr="00EF3CC1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OpenSans-CondensedLight"/>
          <w:sz w:val="18"/>
        </w:rPr>
        <w:t>Frequência: 36.000 VpH (5 Hz)</w:t>
      </w:r>
    </w:p>
    <w:p w14:paraId="0FD557FB" w14:textId="57913168" w:rsidR="009732E8" w:rsidRPr="00EF3CC1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OpenSans-CondensedLight"/>
          <w:sz w:val="18"/>
        </w:rPr>
        <w:t>Reserva de marcha aprox..: 50 horas</w:t>
      </w:r>
    </w:p>
    <w:p w14:paraId="4E3A365B" w14:textId="5B71A1E0" w:rsidR="009732E8" w:rsidRPr="00EF3CC1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Antonio-Regular"/>
          <w:sz w:val="18"/>
          <w:szCs w:val="18"/>
        </w:rPr>
      </w:pPr>
    </w:p>
    <w:p w14:paraId="2A4431FA" w14:textId="3E4C304F" w:rsidR="009732E8" w:rsidRPr="00EF3CC1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Antonio-Regular"/>
          <w:b/>
          <w:sz w:val="18"/>
          <w:szCs w:val="18"/>
        </w:rPr>
      </w:pPr>
      <w:r>
        <w:rPr>
          <w:rFonts w:ascii="Avenir Next" w:hAnsi="Avenir Next" w:cs="Antonio-Regular"/>
          <w:b/>
          <w:sz w:val="18"/>
        </w:rPr>
        <w:t xml:space="preserve">FUNÇÕES </w:t>
      </w:r>
    </w:p>
    <w:p w14:paraId="153E1366" w14:textId="77777777" w:rsidR="009732E8" w:rsidRPr="00EF3CC1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OpenSans-CondensedLight"/>
          <w:sz w:val="18"/>
        </w:rPr>
        <w:t>Horas e minutos ao centro</w:t>
      </w:r>
    </w:p>
    <w:p w14:paraId="097ADFCA" w14:textId="7E5FF81E" w:rsidR="009732E8" w:rsidRPr="00EF3CC1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OpenSans-CondensedLight"/>
          <w:sz w:val="18"/>
        </w:rPr>
        <w:t>Turbilhão:</w:t>
      </w:r>
    </w:p>
    <w:p w14:paraId="49E7F08B" w14:textId="621B73CD" w:rsidR="009732E8" w:rsidRPr="00EF3CC1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OpenSans-CondensedLight"/>
          <w:sz w:val="18"/>
        </w:rPr>
        <w:t>- A gaiola está posicionada às 6 horas</w:t>
      </w:r>
    </w:p>
    <w:p w14:paraId="6203EC1F" w14:textId="77777777" w:rsidR="009732E8" w:rsidRPr="00EF3CC1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OpenSans-CondensedLight"/>
          <w:sz w:val="18"/>
        </w:rPr>
        <w:t>- A gaiola dá uma volta por minuto</w:t>
      </w:r>
    </w:p>
    <w:p w14:paraId="4B86431E" w14:textId="77777777" w:rsidR="009732E8" w:rsidRPr="00EF3CC1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OpenSans-CondensedLight"/>
          <w:sz w:val="18"/>
        </w:rPr>
        <w:t>Indicador de reserva de marcha às 4 e às 5 horas</w:t>
      </w:r>
    </w:p>
    <w:p w14:paraId="78C9B847" w14:textId="39E7D18E" w:rsidR="009732E8" w:rsidRDefault="009732E8" w:rsidP="009732E8">
      <w:pPr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OpenSans-CondensedLight"/>
          <w:sz w:val="18"/>
        </w:rPr>
        <w:t>Transmissão de fuso e corrente ligada ao tambor</w:t>
      </w:r>
    </w:p>
    <w:p w14:paraId="0D5F02AA" w14:textId="77777777" w:rsidR="002312FC" w:rsidRPr="00EF3CC1" w:rsidRDefault="002312FC" w:rsidP="009732E8">
      <w:pPr>
        <w:spacing w:line="276" w:lineRule="auto"/>
        <w:rPr>
          <w:rFonts w:ascii="Avenir Next" w:hAnsi="Avenir Next" w:cs="OpenSans-CondensedLight"/>
          <w:sz w:val="18"/>
          <w:szCs w:val="18"/>
        </w:rPr>
      </w:pPr>
    </w:p>
    <w:p w14:paraId="6DAF6896" w14:textId="346B8FAF" w:rsidR="009732E8" w:rsidRPr="00EF3CC1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b/>
          <w:sz w:val="18"/>
          <w:szCs w:val="18"/>
        </w:rPr>
      </w:pPr>
      <w:r>
        <w:rPr>
          <w:rFonts w:ascii="Avenir Next" w:hAnsi="Avenir Next" w:cs="OpenSans-CondensedLight"/>
          <w:b/>
          <w:sz w:val="18"/>
        </w:rPr>
        <w:t xml:space="preserve">CAIXA, MOSTRADOR E PONTEIROS </w:t>
      </w:r>
    </w:p>
    <w:p w14:paraId="7D4C38CD" w14:textId="36F92FBF" w:rsidR="009732E8" w:rsidRPr="00EF3CC1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OpenSans-CondensedLight"/>
          <w:sz w:val="18"/>
        </w:rPr>
        <w:t>Diâmetro: 44 mm</w:t>
      </w:r>
    </w:p>
    <w:p w14:paraId="702C097B" w14:textId="07F70529" w:rsidR="009732E8" w:rsidRPr="00EF3CC1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OpenSans-CondensedLight"/>
          <w:sz w:val="18"/>
        </w:rPr>
        <w:t>Diâmetro da abertura: 36,5 mm</w:t>
      </w:r>
    </w:p>
    <w:p w14:paraId="64749B02" w14:textId="77777777" w:rsidR="009732E8" w:rsidRPr="00EF3CC1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OpenSans-CondensedLight"/>
          <w:sz w:val="18"/>
        </w:rPr>
        <w:t>Espessura: 13,35 mm</w:t>
      </w:r>
    </w:p>
    <w:p w14:paraId="4641689F" w14:textId="77777777" w:rsidR="002312FC" w:rsidRDefault="009732E8" w:rsidP="00EF3CC1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OpenSans-CondensedLight"/>
          <w:sz w:val="18"/>
        </w:rPr>
        <w:t>Vidro: vidro de safira convexo com tratamento antirreflexo em ambos os lados</w:t>
      </w:r>
    </w:p>
    <w:p w14:paraId="2153539B" w14:textId="77777777" w:rsidR="002312FC" w:rsidRDefault="009732E8" w:rsidP="00EF3CC1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OpenSans-CondensedLight"/>
          <w:sz w:val="18"/>
        </w:rPr>
        <w:t>Fundo da caixa: vidro de safira transparente</w:t>
      </w:r>
    </w:p>
    <w:p w14:paraId="3F314A9B" w14:textId="77777777" w:rsidR="002312FC" w:rsidRDefault="009732E8" w:rsidP="00EF3CC1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OpenSans-CondensedLight"/>
          <w:sz w:val="18"/>
        </w:rPr>
        <w:t>Material: Carbono preto</w:t>
      </w:r>
    </w:p>
    <w:p w14:paraId="43F7BE17" w14:textId="77777777" w:rsidR="002312FC" w:rsidRDefault="009732E8" w:rsidP="00EF3CC1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OpenSans-CondensedLight"/>
          <w:sz w:val="18"/>
        </w:rPr>
        <w:t>Estanqueidade: 10 ATM</w:t>
      </w:r>
    </w:p>
    <w:p w14:paraId="7B0A77F6" w14:textId="77777777" w:rsidR="002312FC" w:rsidRDefault="009732E8" w:rsidP="00EF3CC1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OpenSans-CondensedLight"/>
          <w:sz w:val="18"/>
        </w:rPr>
        <w:t>Mostrador: Aberto e em carbono</w:t>
      </w:r>
    </w:p>
    <w:p w14:paraId="501DF376" w14:textId="77777777" w:rsidR="002312FC" w:rsidRDefault="009732E8" w:rsidP="00EF3CC1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OpenSans-CondensedLight"/>
          <w:sz w:val="18"/>
        </w:rPr>
        <w:t>Índices das horas: Transferido</w:t>
      </w:r>
    </w:p>
    <w:p w14:paraId="0F1CD3BF" w14:textId="51E67B8F" w:rsidR="00EF3CC1" w:rsidRDefault="009732E8" w:rsidP="00EF3CC1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OpenSans-CondensedLight"/>
          <w:sz w:val="18"/>
        </w:rPr>
        <w:t>Ponteiros: Banhados a rutênio preto, facetados e revestidos com SuperLuminova SLN C1</w:t>
      </w:r>
    </w:p>
    <w:p w14:paraId="121EF871" w14:textId="77777777" w:rsidR="002312FC" w:rsidRDefault="002312FC" w:rsidP="00EF3CC1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b/>
          <w:sz w:val="18"/>
          <w:szCs w:val="18"/>
        </w:rPr>
      </w:pPr>
    </w:p>
    <w:p w14:paraId="791A8D11" w14:textId="215E45B3" w:rsidR="002312FC" w:rsidRDefault="002312FC" w:rsidP="00EF3CC1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b/>
          <w:sz w:val="18"/>
          <w:szCs w:val="18"/>
        </w:rPr>
      </w:pPr>
      <w:r>
        <w:rPr>
          <w:rFonts w:ascii="Avenir Next" w:hAnsi="Avenir Next" w:cs="OpenSans-CondensedLight"/>
          <w:b/>
          <w:sz w:val="18"/>
        </w:rPr>
        <w:t>PULSEIRA E FECHO</w:t>
      </w:r>
    </w:p>
    <w:p w14:paraId="389081B8" w14:textId="0AA2C203" w:rsidR="009732E8" w:rsidRPr="00EF3CC1" w:rsidRDefault="009732E8" w:rsidP="00EF3CC1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b/>
          <w:sz w:val="18"/>
          <w:szCs w:val="18"/>
        </w:rPr>
      </w:pPr>
      <w:r>
        <w:rPr>
          <w:rFonts w:ascii="Avenir Next" w:hAnsi="Avenir Next" w:cs="OpenSans-CondensedLight"/>
          <w:sz w:val="18"/>
        </w:rPr>
        <w:t>Pulseira: Borracha preta com borracha preta com padrão Cordura</w:t>
      </w:r>
    </w:p>
    <w:p w14:paraId="54C5BB5D" w14:textId="2B683215" w:rsidR="00EF3CC1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OpenSans-CondensedLight"/>
          <w:sz w:val="18"/>
        </w:rPr>
        <w:t>Fecho: Fecho de dobra dupla em titânio com cabeça em carbono preto</w:t>
      </w:r>
    </w:p>
    <w:p w14:paraId="51F4A432" w14:textId="6A61055E" w:rsidR="009732E8" w:rsidRPr="00EF3CC1" w:rsidRDefault="00EF3CC1" w:rsidP="00EF3CC1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Antonio-Regular"/>
          <w:b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7272338" wp14:editId="610CE7DD">
            <wp:simplePos x="0" y="0"/>
            <wp:positionH relativeFrom="margin">
              <wp:posOffset>4046855</wp:posOffset>
            </wp:positionH>
            <wp:positionV relativeFrom="paragraph">
              <wp:posOffset>7620</wp:posOffset>
            </wp:positionV>
            <wp:extent cx="1851660" cy="2639695"/>
            <wp:effectExtent l="0" t="0" r="0" b="0"/>
            <wp:wrapTight wrapText="bothSides">
              <wp:wrapPolygon edited="0">
                <wp:start x="6444" y="935"/>
                <wp:lineTo x="6000" y="3741"/>
                <wp:lineTo x="3111" y="8729"/>
                <wp:lineTo x="3556" y="11223"/>
                <wp:lineTo x="5111" y="13718"/>
                <wp:lineTo x="6222" y="16212"/>
                <wp:lineTo x="6444" y="20576"/>
                <wp:lineTo x="6667" y="20888"/>
                <wp:lineTo x="14444" y="20888"/>
                <wp:lineTo x="14667" y="20576"/>
                <wp:lineTo x="15111" y="16212"/>
                <wp:lineTo x="17778" y="11223"/>
                <wp:lineTo x="18889" y="10756"/>
                <wp:lineTo x="19333" y="9353"/>
                <wp:lineTo x="18889" y="8729"/>
                <wp:lineTo x="16889" y="6235"/>
                <wp:lineTo x="15333" y="3741"/>
                <wp:lineTo x="14667" y="935"/>
                <wp:lineTo x="6444" y="935"/>
              </wp:wrapPolygon>
            </wp:wrapTight>
            <wp:docPr id="5" name="Picture 5" descr="\\WJEZEN-SCHLOE\Departement_MarCom_Dossiers\_Communication 2019\PR\1. PRESS KITS\1. POST BASELWORLD\DEFY FUSEE CHAINE TOURBILLON\PICS\40.9000.4805.75.R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JEZEN-SCHLOE\Departement_MarCom_Dossiers\_Communication 2019\PR\1. PRESS KITS\1. POST BASELWORLD\DEFY FUSEE CHAINE TOURBILLON\PICS\40.9000.4805.75.R58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venir Next" w:hAnsi="Avenir Next" w:cs="Antonio-Regular"/>
          <w:b/>
        </w:rPr>
        <w:t>DEFY FUSEE TOURBILLON</w:t>
      </w:r>
    </w:p>
    <w:p w14:paraId="4C304B6D" w14:textId="7594AF86" w:rsidR="009732E8" w:rsidRDefault="009732E8" w:rsidP="009732E8">
      <w:pPr>
        <w:rPr>
          <w:rFonts w:ascii="Avenir Next" w:hAnsi="Avenir Next" w:cs="OpenSans-CondensedLight"/>
          <w:sz w:val="20"/>
          <w:szCs w:val="18"/>
        </w:rPr>
      </w:pPr>
      <w:r>
        <w:rPr>
          <w:rFonts w:ascii="Avenir Next" w:hAnsi="Avenir Next" w:cs="OpenSans-CondensedLight"/>
          <w:sz w:val="20"/>
        </w:rPr>
        <w:t>EDIÇÃO LIMITADA A 10</w:t>
      </w:r>
    </w:p>
    <w:p w14:paraId="7E03C0A9" w14:textId="77777777" w:rsidR="00EF3CC1" w:rsidRPr="00864DF2" w:rsidRDefault="00EF3CC1" w:rsidP="009732E8">
      <w:pPr>
        <w:rPr>
          <w:rFonts w:ascii="Avenir Next" w:hAnsi="Avenir Next" w:cs="OpenSans-CondensedLight"/>
          <w:sz w:val="20"/>
          <w:szCs w:val="18"/>
        </w:rPr>
      </w:pPr>
    </w:p>
    <w:p w14:paraId="3976FF4A" w14:textId="38A49927" w:rsidR="009732E8" w:rsidRDefault="009732E8" w:rsidP="009732E8">
      <w:pPr>
        <w:rPr>
          <w:rFonts w:ascii="Avenir Next" w:hAnsi="Avenir Next" w:cs="Arial"/>
          <w:bCs/>
          <w:sz w:val="18"/>
          <w:szCs w:val="18"/>
        </w:rPr>
      </w:pPr>
      <w:r>
        <w:rPr>
          <w:rFonts w:ascii="Avenir Next" w:hAnsi="Avenir Next" w:cs="OpenSans-CondensedLight"/>
          <w:sz w:val="18"/>
        </w:rPr>
        <w:t xml:space="preserve">Referência: </w:t>
      </w:r>
      <w:r>
        <w:rPr>
          <w:rFonts w:ascii="Avenir Next" w:hAnsi="Avenir Next" w:cs="OpenSans-CondensedLight"/>
          <w:sz w:val="18"/>
        </w:rPr>
        <w:tab/>
      </w:r>
      <w:r>
        <w:rPr>
          <w:rFonts w:ascii="Avenir Next" w:hAnsi="Avenir Next" w:cs="Arial"/>
          <w:sz w:val="18"/>
        </w:rPr>
        <w:t>40.9000.4805/75.R582</w:t>
      </w:r>
    </w:p>
    <w:p w14:paraId="1D943EB1" w14:textId="77777777" w:rsidR="002312FC" w:rsidRDefault="002312FC" w:rsidP="009732E8">
      <w:pPr>
        <w:rPr>
          <w:rFonts w:ascii="Avenir Next" w:hAnsi="Avenir Next" w:cs="Arial"/>
          <w:bCs/>
          <w:sz w:val="18"/>
          <w:szCs w:val="18"/>
        </w:rPr>
      </w:pPr>
    </w:p>
    <w:p w14:paraId="3BA2DD95" w14:textId="77777777" w:rsidR="002312FC" w:rsidRDefault="009732E8" w:rsidP="009732E8">
      <w:pPr>
        <w:rPr>
          <w:rFonts w:ascii="Avenir Next" w:hAnsi="Avenir Next" w:cs="OpenSans-CondensedLight"/>
          <w:b/>
          <w:sz w:val="18"/>
          <w:szCs w:val="18"/>
        </w:rPr>
      </w:pPr>
      <w:r>
        <w:rPr>
          <w:rFonts w:ascii="Avenir Next" w:hAnsi="Avenir Next" w:cs="OpenSans-CondensedLight"/>
          <w:b/>
          <w:sz w:val="18"/>
        </w:rPr>
        <w:t>PONTOS DE VENDAS EXCLUSIVOS</w:t>
      </w:r>
    </w:p>
    <w:p w14:paraId="04CC273F" w14:textId="77777777" w:rsidR="002312FC" w:rsidRDefault="009732E8" w:rsidP="009732E8">
      <w:pPr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OpenSans-CondensedLight"/>
          <w:sz w:val="18"/>
        </w:rPr>
        <w:t>Combinação exclusiva: Calibre turbilhão de fuso e corrente</w:t>
      </w:r>
    </w:p>
    <w:p w14:paraId="019F7921" w14:textId="77777777" w:rsidR="002312FC" w:rsidRDefault="009732E8" w:rsidP="009732E8">
      <w:pPr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OpenSans-CondensedLight"/>
          <w:sz w:val="18"/>
        </w:rPr>
        <w:t>Corrente feita com 575 componentes</w:t>
      </w:r>
    </w:p>
    <w:p w14:paraId="6A1025E2" w14:textId="77777777" w:rsidR="002312FC" w:rsidRDefault="009732E8" w:rsidP="009732E8">
      <w:pPr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OpenSans-CondensedLight"/>
          <w:sz w:val="18"/>
        </w:rPr>
        <w:t>Turbilhão El Primero com corda manual e escapamento fuso e corrente</w:t>
      </w:r>
    </w:p>
    <w:p w14:paraId="252C8C88" w14:textId="3D72F09C" w:rsidR="009732E8" w:rsidRDefault="009732E8" w:rsidP="009732E8">
      <w:pPr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OpenSans-CondensedLight"/>
          <w:sz w:val="18"/>
        </w:rPr>
        <w:t>Transmissão de fuso e corrente de força constante ligada ao tambor</w:t>
      </w:r>
    </w:p>
    <w:p w14:paraId="7D857765" w14:textId="77777777" w:rsidR="002312FC" w:rsidRDefault="002312FC" w:rsidP="009732E8">
      <w:pPr>
        <w:rPr>
          <w:rFonts w:ascii="Avenir Next" w:hAnsi="Avenir Next" w:cs="OpenSans-CondensedLight"/>
          <w:sz w:val="18"/>
          <w:szCs w:val="18"/>
        </w:rPr>
      </w:pPr>
    </w:p>
    <w:p w14:paraId="01440A14" w14:textId="77777777" w:rsidR="002312FC" w:rsidRDefault="009732E8" w:rsidP="009732E8">
      <w:pPr>
        <w:rPr>
          <w:rFonts w:ascii="Avenir Next" w:hAnsi="Avenir Next" w:cs="Antonio-Regular"/>
          <w:b/>
          <w:sz w:val="18"/>
          <w:szCs w:val="18"/>
        </w:rPr>
      </w:pPr>
      <w:r>
        <w:rPr>
          <w:rFonts w:ascii="Avenir Next" w:hAnsi="Avenir Next" w:cs="Antonio-Regular"/>
          <w:b/>
          <w:sz w:val="18"/>
        </w:rPr>
        <w:t xml:space="preserve">MOVIMENTO </w:t>
      </w:r>
    </w:p>
    <w:p w14:paraId="5F6F6418" w14:textId="77777777" w:rsidR="002312FC" w:rsidRDefault="009732E8" w:rsidP="009732E8">
      <w:pPr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OpenSans-CondensedLight"/>
          <w:sz w:val="18"/>
        </w:rPr>
        <w:t>Movimento El Primero 4805 SK, Manual</w:t>
      </w:r>
    </w:p>
    <w:p w14:paraId="1B557A6B" w14:textId="77777777" w:rsidR="002312FC" w:rsidRDefault="009732E8" w:rsidP="009732E8">
      <w:pPr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OpenSans-CondensedLight"/>
          <w:sz w:val="18"/>
        </w:rPr>
        <w:t>Calibre 16½``` (Diâmetro: 37 mm)</w:t>
      </w:r>
    </w:p>
    <w:p w14:paraId="12D255F9" w14:textId="77777777" w:rsidR="002312FC" w:rsidRDefault="009732E8" w:rsidP="009732E8">
      <w:pPr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OpenSans-CondensedLight"/>
          <w:sz w:val="18"/>
        </w:rPr>
        <w:t>Espessura do movimento: 5,9 mm</w:t>
      </w:r>
    </w:p>
    <w:p w14:paraId="12AD5B7E" w14:textId="77777777" w:rsidR="002312FC" w:rsidRDefault="009732E8" w:rsidP="009732E8">
      <w:pPr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OpenSans-CondensedLight"/>
          <w:sz w:val="18"/>
        </w:rPr>
        <w:t>Componentes: 807</w:t>
      </w:r>
    </w:p>
    <w:p w14:paraId="3B4741ED" w14:textId="77777777" w:rsidR="002312FC" w:rsidRDefault="009732E8" w:rsidP="009732E8">
      <w:pPr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OpenSans-CondensedLight"/>
          <w:sz w:val="18"/>
        </w:rPr>
        <w:t>Assinatura exclusiva bicolor nas placas e pontes</w:t>
      </w:r>
    </w:p>
    <w:p w14:paraId="20185841" w14:textId="77777777" w:rsidR="002312FC" w:rsidRDefault="009732E8" w:rsidP="009732E8">
      <w:pPr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OpenSans-CondensedLight"/>
          <w:sz w:val="18"/>
        </w:rPr>
        <w:t>Joias: 34</w:t>
      </w:r>
    </w:p>
    <w:p w14:paraId="04B437B4" w14:textId="77777777" w:rsidR="002312FC" w:rsidRDefault="009732E8" w:rsidP="009732E8">
      <w:pPr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OpenSans-CondensedLight"/>
          <w:sz w:val="18"/>
        </w:rPr>
        <w:t>Frequência: 36.000 VpH (5 Hz)</w:t>
      </w:r>
    </w:p>
    <w:p w14:paraId="7B43CCEB" w14:textId="77777777" w:rsidR="002312FC" w:rsidRDefault="009732E8" w:rsidP="009732E8">
      <w:pPr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OpenSans-CondensedLight"/>
          <w:sz w:val="18"/>
        </w:rPr>
        <w:t>Reserva de marcha aprox..: 50 horas</w:t>
      </w:r>
    </w:p>
    <w:p w14:paraId="6883689F" w14:textId="77777777" w:rsidR="009732E8" w:rsidRPr="00864DF2" w:rsidRDefault="009732E8" w:rsidP="009732E8">
      <w:pPr>
        <w:autoSpaceDE w:val="0"/>
        <w:autoSpaceDN w:val="0"/>
        <w:adjustRightInd w:val="0"/>
        <w:rPr>
          <w:rFonts w:ascii="Avenir Next" w:hAnsi="Avenir Next" w:cs="OpenSans-CondensedLight"/>
          <w:sz w:val="18"/>
          <w:szCs w:val="18"/>
        </w:rPr>
      </w:pPr>
      <w:bookmarkStart w:id="1" w:name="_GoBack"/>
      <w:bookmarkEnd w:id="1"/>
    </w:p>
    <w:p w14:paraId="145192C0" w14:textId="77777777" w:rsidR="009732E8" w:rsidRPr="00685E2B" w:rsidRDefault="009732E8" w:rsidP="009732E8">
      <w:pPr>
        <w:autoSpaceDE w:val="0"/>
        <w:autoSpaceDN w:val="0"/>
        <w:adjustRightInd w:val="0"/>
        <w:rPr>
          <w:rFonts w:ascii="Avenir Next" w:hAnsi="Avenir Next" w:cs="Antonio-Regular"/>
          <w:b/>
          <w:sz w:val="18"/>
          <w:szCs w:val="18"/>
        </w:rPr>
      </w:pPr>
      <w:r>
        <w:rPr>
          <w:rFonts w:ascii="Avenir Next" w:hAnsi="Avenir Next" w:cs="Antonio-Regular"/>
          <w:b/>
          <w:sz w:val="18"/>
        </w:rPr>
        <w:t xml:space="preserve">FUNÇÕES </w:t>
      </w:r>
    </w:p>
    <w:p w14:paraId="18779450" w14:textId="77777777" w:rsidR="009732E8" w:rsidRPr="00685E2B" w:rsidRDefault="009732E8" w:rsidP="009732E8">
      <w:pPr>
        <w:autoSpaceDE w:val="0"/>
        <w:autoSpaceDN w:val="0"/>
        <w:adjustRightInd w:val="0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OpenSans-CondensedLight"/>
          <w:sz w:val="18"/>
        </w:rPr>
        <w:t>Horas e minutos ao centro</w:t>
      </w:r>
    </w:p>
    <w:p w14:paraId="3E817C42" w14:textId="77777777" w:rsidR="009732E8" w:rsidRPr="00685E2B" w:rsidRDefault="009732E8" w:rsidP="009732E8">
      <w:pPr>
        <w:autoSpaceDE w:val="0"/>
        <w:autoSpaceDN w:val="0"/>
        <w:adjustRightInd w:val="0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OpenSans-CondensedLight"/>
          <w:sz w:val="18"/>
        </w:rPr>
        <w:t>Turbilhão:</w:t>
      </w:r>
    </w:p>
    <w:p w14:paraId="0888B67D" w14:textId="77777777" w:rsidR="009732E8" w:rsidRPr="00685E2B" w:rsidRDefault="009732E8" w:rsidP="009732E8">
      <w:pPr>
        <w:autoSpaceDE w:val="0"/>
        <w:autoSpaceDN w:val="0"/>
        <w:adjustRightInd w:val="0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OpenSans-CondensedLight"/>
          <w:sz w:val="18"/>
        </w:rPr>
        <w:t>- A gaiola está posicionada às 6 horas</w:t>
      </w:r>
    </w:p>
    <w:p w14:paraId="7FCD89F6" w14:textId="77777777" w:rsidR="009732E8" w:rsidRPr="00685E2B" w:rsidRDefault="009732E8" w:rsidP="009732E8">
      <w:pPr>
        <w:autoSpaceDE w:val="0"/>
        <w:autoSpaceDN w:val="0"/>
        <w:adjustRightInd w:val="0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OpenSans-CondensedLight"/>
          <w:sz w:val="18"/>
        </w:rPr>
        <w:t>- A gaiola dá uma volta por minuto</w:t>
      </w:r>
    </w:p>
    <w:p w14:paraId="0B32972F" w14:textId="77777777" w:rsidR="009732E8" w:rsidRPr="00685E2B" w:rsidRDefault="009732E8" w:rsidP="009732E8">
      <w:pPr>
        <w:autoSpaceDE w:val="0"/>
        <w:autoSpaceDN w:val="0"/>
        <w:adjustRightInd w:val="0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OpenSans-CondensedLight"/>
          <w:sz w:val="18"/>
        </w:rPr>
        <w:t>Indicador de reserva de marcha às 4 e às 5 horas</w:t>
      </w:r>
    </w:p>
    <w:p w14:paraId="2EDEA072" w14:textId="2D630341" w:rsidR="009732E8" w:rsidRDefault="009732E8" w:rsidP="009732E8">
      <w:pPr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OpenSans-CondensedLight"/>
          <w:sz w:val="18"/>
        </w:rPr>
        <w:t>Transmissão de fuso e corrente ligada ao tambor</w:t>
      </w:r>
    </w:p>
    <w:p w14:paraId="4A80A4DC" w14:textId="77777777" w:rsidR="002312FC" w:rsidRPr="00685E2B" w:rsidRDefault="002312FC" w:rsidP="009732E8">
      <w:pPr>
        <w:rPr>
          <w:rFonts w:ascii="Avenir Next" w:hAnsi="Avenir Next" w:cs="OpenSans-CondensedLight"/>
          <w:sz w:val="18"/>
          <w:szCs w:val="18"/>
        </w:rPr>
      </w:pPr>
    </w:p>
    <w:p w14:paraId="2DBDFBFF" w14:textId="77777777" w:rsidR="009732E8" w:rsidRPr="00685E2B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b/>
          <w:sz w:val="18"/>
          <w:szCs w:val="18"/>
        </w:rPr>
      </w:pPr>
      <w:r>
        <w:rPr>
          <w:rFonts w:ascii="Avenir Next" w:hAnsi="Avenir Next" w:cs="OpenSans-CondensedLight"/>
          <w:b/>
          <w:sz w:val="18"/>
        </w:rPr>
        <w:t xml:space="preserve">CAIXA, MOSTRADOR E PONTEIROS </w:t>
      </w:r>
    </w:p>
    <w:p w14:paraId="6C794385" w14:textId="77777777" w:rsidR="009732E8" w:rsidRPr="00685E2B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OpenSans-CondensedLight"/>
          <w:sz w:val="18"/>
        </w:rPr>
        <w:t>Diâmetro: 44 mm</w:t>
      </w:r>
    </w:p>
    <w:p w14:paraId="03203603" w14:textId="77777777" w:rsidR="009732E8" w:rsidRPr="00685E2B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OpenSans-CondensedLight"/>
          <w:sz w:val="18"/>
        </w:rPr>
        <w:t>Diâmetro da abertura: 36,5 mm</w:t>
      </w:r>
    </w:p>
    <w:p w14:paraId="05C4CBC3" w14:textId="77777777" w:rsidR="009732E8" w:rsidRPr="00685E2B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OpenSans-CondensedLight"/>
          <w:sz w:val="18"/>
        </w:rPr>
        <w:t>Espessura: 13,35 mm</w:t>
      </w:r>
    </w:p>
    <w:p w14:paraId="1F0037F3" w14:textId="77777777" w:rsidR="002312FC" w:rsidRDefault="009732E8" w:rsidP="009732E8">
      <w:pPr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OpenSans-CondensedLight"/>
          <w:sz w:val="18"/>
        </w:rPr>
        <w:t>Vidro: vidro de safira convexo com tratamento antirreflexo em ambos os lados</w:t>
      </w:r>
    </w:p>
    <w:p w14:paraId="2A51325F" w14:textId="77777777" w:rsidR="002312FC" w:rsidRDefault="009732E8" w:rsidP="009732E8">
      <w:pPr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OpenSans-CondensedLight"/>
          <w:sz w:val="18"/>
        </w:rPr>
        <w:t>Fundo da caixa: vidro de safira transparente</w:t>
      </w:r>
    </w:p>
    <w:p w14:paraId="600B7541" w14:textId="77777777" w:rsidR="002312FC" w:rsidRDefault="009732E8" w:rsidP="009732E8">
      <w:pPr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OpenSans-CondensedLight"/>
          <w:sz w:val="18"/>
        </w:rPr>
        <w:t>Material: Platina 950</w:t>
      </w:r>
    </w:p>
    <w:p w14:paraId="4A452765" w14:textId="77777777" w:rsidR="002312FC" w:rsidRDefault="009732E8" w:rsidP="009732E8">
      <w:pPr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OpenSans-CondensedLight"/>
          <w:sz w:val="18"/>
        </w:rPr>
        <w:t>Estanqueidade: 10 ATM</w:t>
      </w:r>
    </w:p>
    <w:p w14:paraId="7FE554B1" w14:textId="24D998A0" w:rsidR="002312FC" w:rsidRDefault="009732E8" w:rsidP="009732E8">
      <w:pPr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OpenSans-CondensedLight"/>
          <w:sz w:val="18"/>
        </w:rPr>
        <w:t>Mostrador: Aberto</w:t>
      </w:r>
    </w:p>
    <w:p w14:paraId="6112CA04" w14:textId="77777777" w:rsidR="002312FC" w:rsidRDefault="009732E8" w:rsidP="009732E8">
      <w:pPr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OpenSans-CondensedLight"/>
          <w:sz w:val="18"/>
        </w:rPr>
        <w:t>Índices das horas: Transferido</w:t>
      </w:r>
    </w:p>
    <w:p w14:paraId="69C9B3EF" w14:textId="3CEF18E6" w:rsidR="009732E8" w:rsidRDefault="009732E8" w:rsidP="009732E8">
      <w:pPr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OpenSans-CondensedLight"/>
          <w:sz w:val="18"/>
        </w:rPr>
        <w:t>Ponteiros: Banhados a ródio, facetados e revestidos com SuperLuminova SLN C1</w:t>
      </w:r>
    </w:p>
    <w:p w14:paraId="3B9B044D" w14:textId="77777777" w:rsidR="002312FC" w:rsidRPr="00685E2B" w:rsidRDefault="002312FC" w:rsidP="009732E8">
      <w:pPr>
        <w:spacing w:line="276" w:lineRule="auto"/>
        <w:rPr>
          <w:rFonts w:ascii="Avenir Next" w:hAnsi="Avenir Next" w:cs="OpenSans-CondensedLight"/>
          <w:sz w:val="18"/>
          <w:szCs w:val="18"/>
        </w:rPr>
      </w:pPr>
    </w:p>
    <w:p w14:paraId="7A08BC37" w14:textId="77777777" w:rsidR="009732E8" w:rsidRPr="00864DF2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b/>
          <w:sz w:val="18"/>
          <w:szCs w:val="18"/>
        </w:rPr>
      </w:pPr>
      <w:r>
        <w:rPr>
          <w:rFonts w:ascii="Avenir Next" w:hAnsi="Avenir Next" w:cs="OpenSans-CondensedLight"/>
          <w:b/>
          <w:sz w:val="18"/>
        </w:rPr>
        <w:t xml:space="preserve">PULSEIRA E FIVELAS </w:t>
      </w:r>
    </w:p>
    <w:p w14:paraId="49255D9C" w14:textId="77777777" w:rsidR="002312FC" w:rsidRDefault="009732E8" w:rsidP="009732E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cs="OpenSans-CondensedLight"/>
          <w:sz w:val="18"/>
        </w:rPr>
        <w:t>Pulseira: Borracha preta com revestimento em couro de crocodilo preto</w:t>
      </w:r>
    </w:p>
    <w:p w14:paraId="20932510" w14:textId="13A067BA" w:rsidR="00B21701" w:rsidRPr="00380225" w:rsidRDefault="009732E8" w:rsidP="002312FC">
      <w:pPr>
        <w:autoSpaceDE w:val="0"/>
        <w:autoSpaceDN w:val="0"/>
        <w:adjustRightInd w:val="0"/>
        <w:spacing w:line="276" w:lineRule="auto"/>
        <w:rPr>
          <w:rFonts w:ascii="Avenir Next" w:hAnsi="Avenir Next"/>
          <w:sz w:val="18"/>
          <w:szCs w:val="22"/>
        </w:rPr>
      </w:pPr>
      <w:r>
        <w:rPr>
          <w:rFonts w:ascii="Avenir Next" w:hAnsi="Avenir Next" w:cs="OpenSans-CondensedLight"/>
          <w:sz w:val="18"/>
        </w:rPr>
        <w:t xml:space="preserve">Fecho: Fecho de dobra dupla em titânio e ouro branco </w:t>
      </w:r>
      <w:bookmarkEnd w:id="0"/>
    </w:p>
    <w:sectPr w:rsidR="00B21701" w:rsidRPr="00380225" w:rsidSect="00D61DDE">
      <w:headerReference w:type="default" r:id="rId9"/>
      <w:footerReference w:type="default" r:id="rId10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DBA391" w14:textId="77777777" w:rsidR="009862F8" w:rsidRDefault="009862F8" w:rsidP="008A730D">
      <w:r>
        <w:separator/>
      </w:r>
    </w:p>
  </w:endnote>
  <w:endnote w:type="continuationSeparator" w:id="0">
    <w:p w14:paraId="16C80538" w14:textId="77777777" w:rsidR="009862F8" w:rsidRDefault="009862F8" w:rsidP="008A73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venir Next">
    <w:altName w:val="Corbel"/>
    <w:panose1 w:val="020B0503020202020204"/>
    <w:charset w:val="00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toni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Sans-Condensed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23B33" w14:textId="77777777" w:rsidR="009862F8" w:rsidRDefault="009862F8" w:rsidP="008A730D">
    <w:pPr>
      <w:pStyle w:val="Footer"/>
      <w:jc w:val="center"/>
      <w:rPr>
        <w:rFonts w:ascii="Avenir Next" w:hAnsi="Avenir Next"/>
        <w:b/>
        <w:sz w:val="18"/>
        <w:szCs w:val="18"/>
      </w:rPr>
    </w:pPr>
  </w:p>
  <w:p w14:paraId="75C5BCCF" w14:textId="77777777" w:rsidR="009862F8" w:rsidRPr="00732961" w:rsidRDefault="009862F8" w:rsidP="008A730D">
    <w:pPr>
      <w:pStyle w:val="Footer"/>
      <w:jc w:val="center"/>
      <w:rPr>
        <w:rFonts w:ascii="Avenir Next" w:hAnsi="Avenir Next"/>
        <w:sz w:val="18"/>
        <w:szCs w:val="18"/>
      </w:rPr>
    </w:pPr>
    <w:r>
      <w:rPr>
        <w:rFonts w:ascii="Avenir Next" w:hAnsi="Avenir Next"/>
        <w:b/>
        <w:sz w:val="18"/>
      </w:rPr>
      <w:t>ZENITH</w:t>
    </w:r>
    <w:r>
      <w:rPr>
        <w:rFonts w:ascii="Avenir Next" w:hAnsi="Avenir Next"/>
        <w:sz w:val="18"/>
      </w:rPr>
      <w:t xml:space="preserve"> | www.zenith-watches.com | Rue des Billodes 34-36 | CH-2400 Le Locle</w:t>
    </w:r>
  </w:p>
  <w:p w14:paraId="35EB456D" w14:textId="6C18A2E9" w:rsidR="009862F8" w:rsidRPr="008A730D" w:rsidRDefault="009862F8" w:rsidP="008A730D">
    <w:pPr>
      <w:pStyle w:val="Footer"/>
      <w:jc w:val="center"/>
      <w:rPr>
        <w:sz w:val="18"/>
        <w:szCs w:val="18"/>
      </w:rPr>
    </w:pPr>
    <w:r>
      <w:rPr>
        <w:rFonts w:ascii="Avenir Next" w:hAnsi="Avenir Next"/>
        <w:sz w:val="18"/>
      </w:rPr>
      <w:t xml:space="preserve">Relações Públicas Internacionais: Minh-Tan Bui – E-mail: </w:t>
    </w:r>
    <w:hyperlink r:id="rId1" w:history="1">
      <w:r>
        <w:rPr>
          <w:rStyle w:val="Hyperlink"/>
          <w:rFonts w:ascii="Avenir Next" w:hAnsi="Avenir Next"/>
          <w:sz w:val="18"/>
        </w:rPr>
        <w:t>minh-tan.bui@zenith-watches.com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A579FF" w14:textId="77777777" w:rsidR="009862F8" w:rsidRDefault="009862F8" w:rsidP="008A730D">
      <w:r>
        <w:separator/>
      </w:r>
    </w:p>
  </w:footnote>
  <w:footnote w:type="continuationSeparator" w:id="0">
    <w:p w14:paraId="7439874B" w14:textId="77777777" w:rsidR="009862F8" w:rsidRDefault="009862F8" w:rsidP="008A73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0DD137" w14:textId="78C519FA" w:rsidR="009862F8" w:rsidRDefault="009862F8" w:rsidP="008A730D">
    <w:pPr>
      <w:pStyle w:val="Header"/>
      <w:jc w:val="center"/>
    </w:pPr>
    <w:r>
      <w:rPr>
        <w:noProof/>
      </w:rPr>
      <w:drawing>
        <wp:inline distT="0" distB="0" distL="0" distR="0" wp14:anchorId="793FA69F" wp14:editId="19E81D9F">
          <wp:extent cx="1700206" cy="723333"/>
          <wp:effectExtent l="0" t="0" r="0" b="63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0206" cy="7233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C827505" w14:textId="77777777" w:rsidR="009862F8" w:rsidRDefault="009862F8" w:rsidP="008A730D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4A3C"/>
    <w:rsid w:val="00185093"/>
    <w:rsid w:val="001A3DFF"/>
    <w:rsid w:val="001C177E"/>
    <w:rsid w:val="001C5178"/>
    <w:rsid w:val="0023003C"/>
    <w:rsid w:val="002312FC"/>
    <w:rsid w:val="00231415"/>
    <w:rsid w:val="00237360"/>
    <w:rsid w:val="002524B7"/>
    <w:rsid w:val="00261030"/>
    <w:rsid w:val="002F3EFD"/>
    <w:rsid w:val="003607E2"/>
    <w:rsid w:val="00380225"/>
    <w:rsid w:val="0038681F"/>
    <w:rsid w:val="0042218C"/>
    <w:rsid w:val="00436752"/>
    <w:rsid w:val="004600B7"/>
    <w:rsid w:val="00493B8B"/>
    <w:rsid w:val="00524B5B"/>
    <w:rsid w:val="00526906"/>
    <w:rsid w:val="005276AB"/>
    <w:rsid w:val="00545110"/>
    <w:rsid w:val="005753A0"/>
    <w:rsid w:val="00596864"/>
    <w:rsid w:val="005A3F25"/>
    <w:rsid w:val="006305DB"/>
    <w:rsid w:val="00642714"/>
    <w:rsid w:val="006B4A3C"/>
    <w:rsid w:val="006C1C91"/>
    <w:rsid w:val="0071687E"/>
    <w:rsid w:val="00761403"/>
    <w:rsid w:val="007C389A"/>
    <w:rsid w:val="007D3F3E"/>
    <w:rsid w:val="007F2564"/>
    <w:rsid w:val="00823463"/>
    <w:rsid w:val="008603D5"/>
    <w:rsid w:val="008A730D"/>
    <w:rsid w:val="008F0C32"/>
    <w:rsid w:val="009160C2"/>
    <w:rsid w:val="009559E9"/>
    <w:rsid w:val="009732E8"/>
    <w:rsid w:val="0097663C"/>
    <w:rsid w:val="009862F8"/>
    <w:rsid w:val="00992F4E"/>
    <w:rsid w:val="00993084"/>
    <w:rsid w:val="009F0B0C"/>
    <w:rsid w:val="00A54D12"/>
    <w:rsid w:val="00A57135"/>
    <w:rsid w:val="00B21701"/>
    <w:rsid w:val="00C2575C"/>
    <w:rsid w:val="00C86B2C"/>
    <w:rsid w:val="00CB0FD7"/>
    <w:rsid w:val="00D56530"/>
    <w:rsid w:val="00D61DDE"/>
    <w:rsid w:val="00D637B7"/>
    <w:rsid w:val="00D65B7A"/>
    <w:rsid w:val="00DE4BE2"/>
    <w:rsid w:val="00E24B18"/>
    <w:rsid w:val="00ED28A6"/>
    <w:rsid w:val="00EE09EA"/>
    <w:rsid w:val="00EF3CC1"/>
    <w:rsid w:val="00F10929"/>
    <w:rsid w:val="00F533E4"/>
    <w:rsid w:val="00F5670D"/>
    <w:rsid w:val="00F66A76"/>
    <w:rsid w:val="00F92729"/>
    <w:rsid w:val="00FC748A"/>
    <w:rsid w:val="00FE2053"/>
    <w:rsid w:val="00FF0E1B"/>
    <w:rsid w:val="00FF2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3B29BE57"/>
  <w14:defaultImageDpi w14:val="300"/>
  <w15:docId w15:val="{B113C939-BA92-4ACD-BC98-4322637E9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5753A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53A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53A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53A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53A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53A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53A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A730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730D"/>
  </w:style>
  <w:style w:type="paragraph" w:styleId="Footer">
    <w:name w:val="footer"/>
    <w:basedOn w:val="Normal"/>
    <w:link w:val="FooterChar"/>
    <w:uiPriority w:val="99"/>
    <w:unhideWhenUsed/>
    <w:rsid w:val="008A730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730D"/>
  </w:style>
  <w:style w:type="character" w:styleId="Hyperlink">
    <w:name w:val="Hyperlink"/>
    <w:rsid w:val="008A730D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13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xmlns:star_td="http://www.star-group.net/schemas/transit/filters/textdata" SelectedStyle="/APA.XSL" StyleName="APA"/>
</file>

<file path=customXml/itemProps1.xml><?xml version="1.0" encoding="utf-8"?>
<ds:datastoreItem xmlns:ds="http://schemas.openxmlformats.org/officeDocument/2006/customXml" ds:itemID="{4474942C-4898-47DF-9731-8A984B1247CC}">
  <ds:schemaRefs>
    <ds:schemaRef ds:uri="http://schemas.openxmlformats.org/officeDocument/2006/bibliography"/>
    <ds:schemaRef ds:uri="http://www.star-group.net/schemas/transit/filters/text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1229</Words>
  <Characters>6761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Lost In Time Sàrl</Company>
  <LinksUpToDate>false</LinksUpToDate>
  <CharactersWithSpaces>7975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Vittoria Pelà</cp:lastModifiedBy>
  <cp:revision>9</cp:revision>
  <cp:lastPrinted>2019-05-27T17:09:00Z</cp:lastPrinted>
  <dcterms:created xsi:type="dcterms:W3CDTF">2019-05-10T13:36:00Z</dcterms:created>
  <dcterms:modified xsi:type="dcterms:W3CDTF">2019-05-27T17:09:00Z</dcterms:modified>
</cp:coreProperties>
</file>