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2A133" w14:textId="3DC1CA17" w:rsidR="00CA1366" w:rsidRDefault="009F1CDE" w:rsidP="00944080">
      <w:pPr>
        <w:spacing w:line="276" w:lineRule="auto"/>
        <w:jc w:val="center"/>
        <w:rPr>
          <w:rFonts w:ascii="Avenir Next" w:hAnsi="Avenir Next"/>
          <w:b/>
          <w:bCs/>
          <w:szCs w:val="18"/>
        </w:rPr>
      </w:pPr>
      <w:r>
        <w:rPr>
          <w:rFonts w:ascii="Avenir Next" w:hAnsi="Avenir Next"/>
          <w:b/>
        </w:rPr>
        <w:t>DEFY Classic Mykonos Edition</w:t>
      </w:r>
    </w:p>
    <w:p w14:paraId="4E72ADF8" w14:textId="77777777" w:rsidR="00CA1366" w:rsidRDefault="00CA1366" w:rsidP="00944080">
      <w:pPr>
        <w:spacing w:line="276" w:lineRule="auto"/>
        <w:jc w:val="center"/>
        <w:rPr>
          <w:rFonts w:ascii="Avenir Next" w:hAnsi="Avenir Next"/>
          <w:b/>
          <w:bCs/>
          <w:sz w:val="18"/>
          <w:szCs w:val="18"/>
        </w:rPr>
      </w:pPr>
    </w:p>
    <w:p w14:paraId="21A5821C" w14:textId="49E091B5" w:rsidR="009F1CDE" w:rsidRPr="00944080" w:rsidRDefault="003D47B8" w:rsidP="00944080">
      <w:pPr>
        <w:spacing w:line="276" w:lineRule="auto"/>
        <w:jc w:val="center"/>
        <w:rPr>
          <w:rFonts w:ascii="Avenir Next" w:hAnsi="Avenir Next"/>
          <w:b/>
          <w:bCs/>
          <w:sz w:val="18"/>
          <w:szCs w:val="18"/>
        </w:rPr>
      </w:pPr>
      <w:r>
        <w:rPr>
          <w:rFonts w:ascii="Avenir Next" w:hAnsi="Avenir Next"/>
          <w:b/>
          <w:color w:val="000000" w:themeColor="text1"/>
          <w:sz w:val="18"/>
        </w:rPr>
        <w:t>Zenith celebra l'arrivo dell'estate in Europa</w:t>
      </w:r>
      <w:r>
        <w:rPr>
          <w:rFonts w:ascii="Avenir Next" w:hAnsi="Avenir Next"/>
          <w:b/>
          <w:sz w:val="18"/>
        </w:rPr>
        <w:t xml:space="preserve"> con un'edizione limitata del DEFY Classic, prodotta in esclusiva per il rivenditore greco GOFAS: il DEFY Classic Mykonos Edition.</w:t>
      </w:r>
    </w:p>
    <w:p w14:paraId="57D2C1F8" w14:textId="77777777" w:rsidR="00CA1366" w:rsidRDefault="00CA1366" w:rsidP="00944080">
      <w:pPr>
        <w:spacing w:line="276" w:lineRule="auto"/>
        <w:jc w:val="both"/>
        <w:rPr>
          <w:rFonts w:ascii="Avenir Next" w:hAnsi="Avenir Next"/>
          <w:b/>
          <w:bCs/>
          <w:sz w:val="18"/>
          <w:szCs w:val="18"/>
        </w:rPr>
      </w:pPr>
    </w:p>
    <w:p w14:paraId="6665687F" w14:textId="3EF4FE76" w:rsidR="00250089" w:rsidRPr="00944080" w:rsidRDefault="00AD1504" w:rsidP="00944080">
      <w:pPr>
        <w:spacing w:line="276" w:lineRule="auto"/>
        <w:jc w:val="both"/>
        <w:rPr>
          <w:rFonts w:ascii="Avenir Next" w:hAnsi="Avenir Next"/>
          <w:bCs/>
          <w:sz w:val="18"/>
          <w:szCs w:val="18"/>
        </w:rPr>
      </w:pPr>
      <w:r>
        <w:rPr>
          <w:rFonts w:ascii="Avenir Next" w:hAnsi="Avenir Next"/>
          <w:sz w:val="18"/>
        </w:rPr>
        <w:t xml:space="preserve">Mykonos è indubbiamente una delle destinazioni estive più ambite. Proprio come Zenith, l'isola greca incastonata nel Mar Egeo coniuga sapientemente storia e tradizione con uno spirito moderno e all'avanguardia. Per celebrare la frizzante atmosfera esclusiva di Mykonos, Zenith ha creato una versione speciale del DEFY Classic, pensata in esclusiva per GOFAS, il suo rivenditore greco, in un'edizione limitata a soli 25 esemplari. </w:t>
      </w:r>
    </w:p>
    <w:p w14:paraId="5B759037" w14:textId="77777777" w:rsidR="00CA1366" w:rsidRDefault="00CA1366" w:rsidP="00CA1366">
      <w:pPr>
        <w:spacing w:line="276" w:lineRule="auto"/>
        <w:jc w:val="both"/>
        <w:rPr>
          <w:rFonts w:ascii="Avenir Next" w:hAnsi="Avenir Next"/>
          <w:b/>
          <w:bCs/>
          <w:sz w:val="18"/>
          <w:szCs w:val="18"/>
        </w:rPr>
      </w:pPr>
    </w:p>
    <w:p w14:paraId="2E9C6775" w14:textId="66EADEE3" w:rsidR="00944080" w:rsidRDefault="00067362" w:rsidP="00944080">
      <w:pPr>
        <w:spacing w:line="276" w:lineRule="auto"/>
        <w:jc w:val="both"/>
        <w:rPr>
          <w:rFonts w:ascii="Avenir Next" w:hAnsi="Avenir Next"/>
          <w:bCs/>
          <w:sz w:val="18"/>
          <w:szCs w:val="18"/>
        </w:rPr>
      </w:pPr>
      <w:r>
        <w:rPr>
          <w:rFonts w:ascii="Avenir Next" w:hAnsi="Avenir Next"/>
          <w:sz w:val="18"/>
        </w:rPr>
        <w:t xml:space="preserve">La cassa sfaccettata del DEFY Classic, con un diametro di 41 mm, è realizzata in ceramica blu. Oltre alle superlative caratteristiche in termini di prestazioni quali durezza e inscalfibilità, qui il colore blu intenso è integrato nel materiale, anziché costituire soltanto uno strato superficiale. In un mix di superfici satinate lucide e opache micropallinate, la cassa mette in risalto le linee futuristiche del DEFY Classic. </w:t>
      </w:r>
    </w:p>
    <w:p w14:paraId="21B4C8BC" w14:textId="77777777" w:rsidR="00CA1366" w:rsidRDefault="00CA1366" w:rsidP="00CA1366">
      <w:pPr>
        <w:spacing w:line="276" w:lineRule="auto"/>
        <w:jc w:val="both"/>
        <w:rPr>
          <w:rFonts w:ascii="Avenir Next" w:hAnsi="Avenir Next"/>
          <w:b/>
          <w:bCs/>
          <w:sz w:val="18"/>
          <w:szCs w:val="18"/>
        </w:rPr>
      </w:pPr>
    </w:p>
    <w:p w14:paraId="0C4F8D24" w14:textId="482A8172" w:rsidR="00250089" w:rsidRPr="00944080" w:rsidRDefault="006A19A2" w:rsidP="00944080">
      <w:pPr>
        <w:spacing w:line="276" w:lineRule="auto"/>
        <w:jc w:val="both"/>
        <w:rPr>
          <w:rFonts w:ascii="Avenir Next" w:hAnsi="Avenir Next"/>
          <w:bCs/>
          <w:sz w:val="18"/>
          <w:szCs w:val="18"/>
        </w:rPr>
      </w:pPr>
      <w:r>
        <w:rPr>
          <w:rFonts w:ascii="Avenir Next" w:hAnsi="Avenir Next"/>
          <w:sz w:val="18"/>
        </w:rPr>
        <w:t xml:space="preserve">Il quadrante scheletrato </w:t>
      </w:r>
      <w:r>
        <w:rPr>
          <w:rFonts w:ascii="Avenir Next" w:hAnsi="Avenir Next"/>
          <w:color w:val="000000" w:themeColor="text1"/>
          <w:sz w:val="18"/>
        </w:rPr>
        <w:t xml:space="preserve">richiama </w:t>
      </w:r>
      <w:r>
        <w:rPr>
          <w:rFonts w:ascii="Avenir Next" w:hAnsi="Avenir Next"/>
          <w:sz w:val="18"/>
        </w:rPr>
        <w:t>i colori della bandiera greca senza tradire lo stile proprio di Zenith, sfoggiando tonalità blu, bianche e argentate per dar vita a un effetto di armoniosa profondità su uno sfondo architettonico contemporaneo. Nella Mykonos Edition, l'elemento centrale a stella del quadrante scheletrato è declinato nello stesso colore blu della cassa, mentre la lancetta dei secondi centrali con contrappeso a forma di stella è dipinta in bianco, in via del tutto eccezionale per questa serie speciale. Anche il réhaut rialzato è in versione bianca con indici blu e indici applicati rodiati riempiti con SuperLumiNova blu, alla stregua delle lancette sfaccettate.</w:t>
      </w:r>
    </w:p>
    <w:p w14:paraId="3226780D" w14:textId="77777777" w:rsidR="00CA1366" w:rsidRDefault="00CA1366" w:rsidP="00CA1366">
      <w:pPr>
        <w:spacing w:line="276" w:lineRule="auto"/>
        <w:jc w:val="both"/>
        <w:rPr>
          <w:rFonts w:ascii="Avenir Next" w:hAnsi="Avenir Next"/>
          <w:b/>
          <w:bCs/>
          <w:sz w:val="18"/>
          <w:szCs w:val="18"/>
        </w:rPr>
      </w:pPr>
    </w:p>
    <w:p w14:paraId="17A8632C" w14:textId="2F85915D" w:rsidR="00250089" w:rsidRPr="00944080" w:rsidRDefault="007C654C" w:rsidP="00944080">
      <w:pPr>
        <w:spacing w:line="276" w:lineRule="auto"/>
        <w:jc w:val="both"/>
        <w:rPr>
          <w:rFonts w:ascii="Avenir Next" w:hAnsi="Avenir Next"/>
          <w:bCs/>
          <w:sz w:val="18"/>
          <w:szCs w:val="18"/>
        </w:rPr>
      </w:pPr>
      <w:r>
        <w:rPr>
          <w:rFonts w:ascii="Avenir Next" w:hAnsi="Avenir Next"/>
          <w:sz w:val="18"/>
        </w:rPr>
        <w:t xml:space="preserve">Il movimento del DEFY Classic Mykonos Edition, visibile dal quadrante e dal fondello, è una rivisitazione in chiave moderna del distintivo movimento automatico di Zenith, l'Elite. Realizzato con platina, ponti e perfino ruota del calendario in versione scheletrata, il calibro Elite vanta un carattere moderno che non si limita all'estetica, grazie alla ruota di scappamento e all'ancora in silicio che garantiscono precisione a una frequenza di 28.800 alt/ora (4 Hz). La riserva di carica minima garantita dal movimento Elite automatico carico è di 50 ore. In linea con il tema mykoniano di questa edizione esclusiva, il vetro zaffiro sul retro della cassa è impreziosito con la sagoma degli iconici mulini a vento bianchi, divenuti un simbolo emblematico dell'isola greca. </w:t>
      </w:r>
    </w:p>
    <w:p w14:paraId="6C35AC6B" w14:textId="77777777" w:rsidR="00CA1366" w:rsidRDefault="00CA1366" w:rsidP="00CA1366">
      <w:pPr>
        <w:spacing w:line="276" w:lineRule="auto"/>
        <w:jc w:val="both"/>
        <w:rPr>
          <w:rFonts w:ascii="Avenir Next" w:hAnsi="Avenir Next"/>
          <w:b/>
          <w:bCs/>
          <w:sz w:val="18"/>
          <w:szCs w:val="18"/>
        </w:rPr>
      </w:pPr>
    </w:p>
    <w:p w14:paraId="423EBA6D" w14:textId="31E67F9A" w:rsidR="00B127AF" w:rsidRDefault="00250089" w:rsidP="00B127AF">
      <w:pPr>
        <w:spacing w:line="276" w:lineRule="auto"/>
        <w:jc w:val="both"/>
        <w:rPr>
          <w:rFonts w:ascii="Avenir Next" w:hAnsi="Avenir Next"/>
          <w:bCs/>
          <w:sz w:val="18"/>
          <w:szCs w:val="18"/>
        </w:rPr>
      </w:pPr>
      <w:r>
        <w:rPr>
          <w:rFonts w:ascii="Avenir Next" w:hAnsi="Avenir Next"/>
          <w:sz w:val="18"/>
        </w:rPr>
        <w:t xml:space="preserve">Il tocco finale perfetto di questa edizione speciale a tema estivo dedicato a Mykonos è rappresentato da un esclusivo cinturino sviluppato esclusivamente per il DEFY Classic Mykonos Edition, caratterizzato da base in caucciù bianco con elemento centrale blu e motivo ispirato alla pavimentazione a ciottoli delle stradine dell'isola. Il modello include anche un secondo cinturino in caucciù bianco testurizzato. La doppia fibbia déployante in titanio sfoggia inoltre un tocco di blu, con l'elemento in ceramica blu posizionato nella testa. Sotto il sole di una spiaggia sabbiosa di Mykonos o in una scatenata pista da ballo, il DEFY Classic Mykonos Edition, in edizione limitata a 25 esemplari e disponibile esclusivamente da GOFAS, è un accessorio immancabile per le avventure estive. </w:t>
      </w:r>
    </w:p>
    <w:p w14:paraId="72BA0218" w14:textId="77777777" w:rsidR="00B127AF" w:rsidRDefault="00B127AF">
      <w:pPr>
        <w:rPr>
          <w:rFonts w:ascii="Avenir Next" w:hAnsi="Avenir Next"/>
          <w:bCs/>
          <w:sz w:val="18"/>
          <w:szCs w:val="18"/>
        </w:rPr>
      </w:pPr>
      <w:r>
        <w:rPr>
          <w:rFonts w:ascii="Avenir Next" w:hAnsi="Avenir Next"/>
          <w:bCs/>
          <w:sz w:val="18"/>
          <w:szCs w:val="18"/>
        </w:rPr>
        <w:br w:type="page"/>
      </w:r>
    </w:p>
    <w:p w14:paraId="2D658369" w14:textId="77777777" w:rsidR="00944080" w:rsidRDefault="00944080" w:rsidP="00944080">
      <w:pPr>
        <w:tabs>
          <w:tab w:val="left" w:pos="8564"/>
        </w:tabs>
        <w:spacing w:line="276" w:lineRule="auto"/>
        <w:jc w:val="both"/>
        <w:rPr>
          <w:rFonts w:ascii="Avenir Next" w:hAnsi="Avenir Next" w:cstheme="majorHAnsi"/>
          <w:b/>
          <w:color w:val="000000" w:themeColor="text1"/>
          <w:sz w:val="18"/>
          <w:szCs w:val="18"/>
        </w:rPr>
      </w:pPr>
    </w:p>
    <w:p w14:paraId="48CC6D83" w14:textId="0234E4EB" w:rsidR="00944080" w:rsidRPr="00380225" w:rsidRDefault="00944080" w:rsidP="00944080">
      <w:pPr>
        <w:tabs>
          <w:tab w:val="left" w:pos="8564"/>
        </w:tabs>
        <w:spacing w:line="276" w:lineRule="auto"/>
        <w:jc w:val="both"/>
        <w:rPr>
          <w:rFonts w:ascii="Avenir Next" w:hAnsi="Avenir Next" w:cstheme="majorHAnsi"/>
          <w:b/>
          <w:color w:val="000000" w:themeColor="text1"/>
          <w:sz w:val="18"/>
          <w:szCs w:val="18"/>
        </w:rPr>
      </w:pPr>
      <w:r>
        <w:rPr>
          <w:rFonts w:ascii="Avenir Next" w:hAnsi="Avenir Next" w:cstheme="majorHAnsi"/>
          <w:b/>
          <w:color w:val="000000" w:themeColor="text1"/>
          <w:sz w:val="18"/>
        </w:rPr>
        <w:t>ZENITH: il futuro dell'orologeria svizzera</w:t>
      </w:r>
    </w:p>
    <w:p w14:paraId="65920D89" w14:textId="77777777" w:rsidR="00944080" w:rsidRDefault="00944080" w:rsidP="00944080">
      <w:pPr>
        <w:tabs>
          <w:tab w:val="left" w:pos="8564"/>
        </w:tabs>
        <w:spacing w:line="276" w:lineRule="auto"/>
        <w:jc w:val="both"/>
        <w:rPr>
          <w:rFonts w:ascii="Avenir Next" w:hAnsi="Avenir Next"/>
          <w:sz w:val="18"/>
          <w:szCs w:val="18"/>
        </w:rPr>
      </w:pPr>
      <w:r>
        <w:rPr>
          <w:rFonts w:ascii="Avenir Next" w:hAnsi="Avenir Next"/>
          <w:sz w:val="18"/>
        </w:rPr>
        <w:t>Guidata come sempre dall'innovazione, Zenith si distingue per gli eccezionali movimenti sviluppati e realizzati internamente che alimentano tutti i suoi orologi, come il DEFY Inventor con il suo precisissimo oscillatore monolitico e il DEFY El Primero 21 con il suo cronografo a 1/100 di secondo. Dalla sua creazione nel 1865, Zenith ha costantemente ridefinito i concetti di precisione e innovazione come dimostrano ad esempio il primo orologio "Pilot" agli albori dell'aviazione e il calibro cronografo automatico “El Primero” prodotto in serie. Sempre un passo avanti, Zenith scrive un nuovo capitolo della sua storia straordinaria definendo nuovi standard di prestazioni e design. Zenith è pronta a modellare il futuro dell'orologeria svizzera, accompagnando tutti coloro che osano sfidare il tempo e mirare alle stelle.</w:t>
      </w:r>
    </w:p>
    <w:p w14:paraId="789D9B72" w14:textId="77777777" w:rsidR="00944080" w:rsidRPr="007C22D7" w:rsidRDefault="00944080" w:rsidP="00944080">
      <w:pPr>
        <w:tabs>
          <w:tab w:val="left" w:pos="8564"/>
        </w:tabs>
        <w:spacing w:line="276" w:lineRule="auto"/>
        <w:jc w:val="both"/>
        <w:rPr>
          <w:rFonts w:ascii="Avenir Next" w:hAnsi="Avenir Next" w:cstheme="majorHAnsi"/>
          <w:b/>
          <w:color w:val="000000" w:themeColor="text1"/>
          <w:sz w:val="18"/>
          <w:szCs w:val="18"/>
        </w:rPr>
      </w:pPr>
    </w:p>
    <w:p w14:paraId="516158C7" w14:textId="77777777" w:rsidR="00944080" w:rsidRPr="00F420BA" w:rsidRDefault="00944080" w:rsidP="00944080">
      <w:pPr>
        <w:pStyle w:val="A"/>
        <w:tabs>
          <w:tab w:val="left" w:pos="8564"/>
        </w:tabs>
        <w:spacing w:line="276" w:lineRule="auto"/>
        <w:ind w:right="-6"/>
        <w:jc w:val="both"/>
        <w:rPr>
          <w:rFonts w:ascii="Avenir Next" w:hAnsi="Avenir Next" w:cstheme="majorHAnsi"/>
          <w:b/>
          <w:color w:val="auto"/>
          <w:sz w:val="18"/>
          <w:szCs w:val="20"/>
        </w:rPr>
      </w:pPr>
      <w:r>
        <w:rPr>
          <w:rFonts w:ascii="Avenir Next" w:hAnsi="Avenir Next" w:cstheme="majorHAnsi"/>
          <w:b/>
          <w:color w:val="auto"/>
          <w:sz w:val="18"/>
        </w:rPr>
        <w:t>PRESS ROOM</w:t>
      </w:r>
    </w:p>
    <w:p w14:paraId="1E97A795" w14:textId="77777777" w:rsidR="00944080" w:rsidRPr="00F420BA" w:rsidRDefault="00944080" w:rsidP="00944080">
      <w:pPr>
        <w:pStyle w:val="A"/>
        <w:tabs>
          <w:tab w:val="left" w:pos="8564"/>
        </w:tabs>
        <w:spacing w:line="276" w:lineRule="auto"/>
        <w:ind w:right="-6"/>
        <w:jc w:val="both"/>
        <w:rPr>
          <w:rFonts w:ascii="Avenir Next" w:hAnsi="Avenir Next" w:cstheme="majorHAnsi"/>
          <w:color w:val="auto"/>
          <w:sz w:val="18"/>
          <w:szCs w:val="20"/>
        </w:rPr>
      </w:pPr>
      <w:r>
        <w:rPr>
          <w:rFonts w:ascii="Avenir Next" w:hAnsi="Avenir Next" w:cstheme="majorHAnsi"/>
          <w:color w:val="auto"/>
          <w:sz w:val="18"/>
        </w:rPr>
        <w:t>Per ulteriore immagini, consultare il link di seguito</w:t>
      </w:r>
    </w:p>
    <w:p w14:paraId="283BDD4B" w14:textId="3B04B813" w:rsidR="007C654C" w:rsidRPr="00944080" w:rsidRDefault="003A77D1" w:rsidP="00944080">
      <w:pPr>
        <w:spacing w:line="276" w:lineRule="auto"/>
        <w:rPr>
          <w:rFonts w:ascii="Avenir Next" w:hAnsi="Avenir Next"/>
          <w:b/>
          <w:bCs/>
          <w:sz w:val="18"/>
          <w:szCs w:val="18"/>
        </w:rPr>
      </w:pPr>
      <w:hyperlink r:id="rId6" w:history="1">
        <w:r w:rsidR="00CA1366">
          <w:rPr>
            <w:rStyle w:val="Hyperlink"/>
            <w:rFonts w:ascii="Avenir Next" w:hAnsi="Avenir Next" w:cstheme="majorHAnsi"/>
            <w:b/>
            <w:color w:val="0070C0"/>
            <w:sz w:val="20"/>
          </w:rPr>
          <w:t>http://pressroom.zenith-watches.com/login/?redirect_to=%2F&amp;reauth=1</w:t>
        </w:r>
      </w:hyperlink>
    </w:p>
    <w:p w14:paraId="1BA53C7F" w14:textId="77777777" w:rsidR="007C654C" w:rsidRPr="00944080" w:rsidRDefault="007C654C" w:rsidP="009F1CDE">
      <w:pPr>
        <w:rPr>
          <w:rFonts w:ascii="Avenir Next" w:hAnsi="Avenir Next"/>
          <w:b/>
          <w:bCs/>
          <w:sz w:val="18"/>
          <w:szCs w:val="18"/>
        </w:rPr>
      </w:pPr>
    </w:p>
    <w:p w14:paraId="50F8C107" w14:textId="389B2F43" w:rsidR="00B21701" w:rsidRDefault="009F1CDE">
      <w:pPr>
        <w:rPr>
          <w:rFonts w:ascii="Avenir Next" w:hAnsi="Avenir Next"/>
          <w:sz w:val="18"/>
          <w:szCs w:val="18"/>
        </w:rPr>
      </w:pPr>
      <w:r>
        <w:rPr>
          <w:rFonts w:ascii="Avenir Next" w:hAnsi="Avenir Next"/>
          <w:sz w:val="18"/>
        </w:rPr>
        <w:br/>
      </w:r>
    </w:p>
    <w:p w14:paraId="3470EB6B" w14:textId="6B0425AF" w:rsidR="006E41F4" w:rsidRDefault="006E41F4">
      <w:pPr>
        <w:rPr>
          <w:rFonts w:ascii="Avenir Next" w:hAnsi="Avenir Next"/>
          <w:sz w:val="18"/>
          <w:szCs w:val="18"/>
        </w:rPr>
      </w:pPr>
    </w:p>
    <w:p w14:paraId="1926A529" w14:textId="7A9ACFA9" w:rsidR="006E41F4" w:rsidRDefault="006E41F4">
      <w:pPr>
        <w:rPr>
          <w:rFonts w:ascii="Avenir Next" w:hAnsi="Avenir Next"/>
          <w:sz w:val="18"/>
          <w:szCs w:val="18"/>
        </w:rPr>
      </w:pPr>
    </w:p>
    <w:p w14:paraId="201D8853" w14:textId="28038A6E" w:rsidR="006E41F4" w:rsidRDefault="006E41F4">
      <w:pPr>
        <w:rPr>
          <w:rFonts w:ascii="Avenir Next" w:hAnsi="Avenir Next"/>
          <w:sz w:val="18"/>
          <w:szCs w:val="18"/>
        </w:rPr>
      </w:pPr>
    </w:p>
    <w:p w14:paraId="2AE2733B" w14:textId="4C6B6D08" w:rsidR="006E41F4" w:rsidRDefault="006E41F4">
      <w:pPr>
        <w:rPr>
          <w:rFonts w:ascii="Avenir Next" w:hAnsi="Avenir Next"/>
          <w:sz w:val="18"/>
          <w:szCs w:val="18"/>
        </w:rPr>
      </w:pPr>
    </w:p>
    <w:p w14:paraId="5042BA80" w14:textId="2AF99E3D" w:rsidR="006E41F4" w:rsidRDefault="006E41F4">
      <w:pPr>
        <w:rPr>
          <w:rFonts w:ascii="Avenir Next" w:hAnsi="Avenir Next"/>
          <w:sz w:val="18"/>
          <w:szCs w:val="18"/>
        </w:rPr>
      </w:pPr>
    </w:p>
    <w:p w14:paraId="4538468D" w14:textId="1AF77880" w:rsidR="006E41F4" w:rsidRDefault="006E41F4">
      <w:pPr>
        <w:rPr>
          <w:rFonts w:ascii="Avenir Next" w:hAnsi="Avenir Next"/>
          <w:sz w:val="18"/>
          <w:szCs w:val="18"/>
        </w:rPr>
      </w:pPr>
    </w:p>
    <w:p w14:paraId="22D681D8" w14:textId="1A400FEA" w:rsidR="006E41F4" w:rsidRDefault="006E41F4">
      <w:pPr>
        <w:rPr>
          <w:rFonts w:ascii="Avenir Next" w:hAnsi="Avenir Next"/>
          <w:sz w:val="18"/>
          <w:szCs w:val="18"/>
        </w:rPr>
      </w:pPr>
    </w:p>
    <w:p w14:paraId="26AF52AF" w14:textId="2F03D2C6" w:rsidR="006E41F4" w:rsidRDefault="006E41F4">
      <w:pPr>
        <w:rPr>
          <w:rFonts w:ascii="Avenir Next" w:hAnsi="Avenir Next"/>
          <w:sz w:val="18"/>
          <w:szCs w:val="18"/>
        </w:rPr>
      </w:pPr>
    </w:p>
    <w:p w14:paraId="40B9CF8B" w14:textId="335BEAA1" w:rsidR="006E41F4" w:rsidRDefault="006E41F4">
      <w:pPr>
        <w:rPr>
          <w:rFonts w:ascii="Avenir Next" w:hAnsi="Avenir Next"/>
          <w:sz w:val="18"/>
          <w:szCs w:val="18"/>
        </w:rPr>
      </w:pPr>
    </w:p>
    <w:p w14:paraId="6844E1E0" w14:textId="359A41D7" w:rsidR="006E41F4" w:rsidRDefault="006E41F4">
      <w:pPr>
        <w:rPr>
          <w:rFonts w:ascii="Avenir Next" w:hAnsi="Avenir Next"/>
          <w:sz w:val="18"/>
          <w:szCs w:val="18"/>
        </w:rPr>
      </w:pPr>
    </w:p>
    <w:p w14:paraId="79DCAB6B" w14:textId="21A931AB" w:rsidR="006E41F4" w:rsidRDefault="006E41F4">
      <w:pPr>
        <w:rPr>
          <w:rFonts w:ascii="Avenir Next" w:hAnsi="Avenir Next"/>
          <w:sz w:val="18"/>
          <w:szCs w:val="18"/>
        </w:rPr>
      </w:pPr>
    </w:p>
    <w:p w14:paraId="72E32218" w14:textId="0E9FDCAC" w:rsidR="006E41F4" w:rsidRDefault="006E41F4">
      <w:pPr>
        <w:rPr>
          <w:rFonts w:ascii="Avenir Next" w:hAnsi="Avenir Next"/>
          <w:sz w:val="18"/>
          <w:szCs w:val="18"/>
        </w:rPr>
      </w:pPr>
    </w:p>
    <w:p w14:paraId="25E15FF8" w14:textId="522B6A62" w:rsidR="006E41F4" w:rsidRDefault="006E41F4">
      <w:pPr>
        <w:rPr>
          <w:rFonts w:ascii="Avenir Next" w:hAnsi="Avenir Next"/>
          <w:sz w:val="18"/>
          <w:szCs w:val="18"/>
        </w:rPr>
      </w:pPr>
    </w:p>
    <w:p w14:paraId="669D21C4" w14:textId="3525592F" w:rsidR="006E41F4" w:rsidRDefault="006E41F4">
      <w:pPr>
        <w:rPr>
          <w:rFonts w:ascii="Avenir Next" w:hAnsi="Avenir Next"/>
          <w:sz w:val="18"/>
          <w:szCs w:val="18"/>
        </w:rPr>
      </w:pPr>
    </w:p>
    <w:p w14:paraId="74DB3903" w14:textId="1927193C" w:rsidR="006E41F4" w:rsidRDefault="006E41F4">
      <w:pPr>
        <w:rPr>
          <w:rFonts w:ascii="Avenir Next" w:hAnsi="Avenir Next"/>
          <w:sz w:val="18"/>
          <w:szCs w:val="18"/>
        </w:rPr>
      </w:pPr>
    </w:p>
    <w:p w14:paraId="0BFFD111" w14:textId="70042A7A" w:rsidR="006E41F4" w:rsidRDefault="006E41F4">
      <w:pPr>
        <w:rPr>
          <w:rFonts w:ascii="Avenir Next" w:hAnsi="Avenir Next"/>
          <w:sz w:val="18"/>
          <w:szCs w:val="18"/>
        </w:rPr>
      </w:pPr>
    </w:p>
    <w:p w14:paraId="6ADE7817" w14:textId="73B1E83D" w:rsidR="006E41F4" w:rsidRDefault="006E41F4">
      <w:pPr>
        <w:rPr>
          <w:rFonts w:ascii="Avenir Next" w:hAnsi="Avenir Next"/>
          <w:sz w:val="18"/>
          <w:szCs w:val="18"/>
        </w:rPr>
      </w:pPr>
    </w:p>
    <w:p w14:paraId="0B275CEE" w14:textId="0024D82D" w:rsidR="006E41F4" w:rsidRDefault="006E41F4">
      <w:pPr>
        <w:rPr>
          <w:rFonts w:ascii="Avenir Next" w:hAnsi="Avenir Next"/>
          <w:sz w:val="18"/>
          <w:szCs w:val="18"/>
        </w:rPr>
      </w:pPr>
    </w:p>
    <w:p w14:paraId="2085F54A" w14:textId="4E1FE18A" w:rsidR="006E41F4" w:rsidRDefault="006E41F4">
      <w:pPr>
        <w:rPr>
          <w:rFonts w:ascii="Avenir Next" w:hAnsi="Avenir Next"/>
          <w:sz w:val="18"/>
          <w:szCs w:val="18"/>
        </w:rPr>
      </w:pPr>
    </w:p>
    <w:p w14:paraId="381C4233" w14:textId="2F247AEA" w:rsidR="006E41F4" w:rsidRDefault="006E41F4">
      <w:pPr>
        <w:rPr>
          <w:rFonts w:ascii="Avenir Next" w:hAnsi="Avenir Next"/>
          <w:sz w:val="18"/>
          <w:szCs w:val="18"/>
        </w:rPr>
      </w:pPr>
    </w:p>
    <w:p w14:paraId="258C3B6D" w14:textId="0FD084F7" w:rsidR="006E41F4" w:rsidRDefault="006E41F4">
      <w:pPr>
        <w:rPr>
          <w:rFonts w:ascii="Avenir Next" w:hAnsi="Avenir Next"/>
          <w:sz w:val="18"/>
          <w:szCs w:val="18"/>
        </w:rPr>
      </w:pPr>
    </w:p>
    <w:p w14:paraId="4D89AC54" w14:textId="35A4FFFD" w:rsidR="006E41F4" w:rsidRDefault="006E41F4">
      <w:pPr>
        <w:rPr>
          <w:rFonts w:ascii="Avenir Next" w:hAnsi="Avenir Next"/>
          <w:sz w:val="18"/>
          <w:szCs w:val="18"/>
        </w:rPr>
      </w:pPr>
    </w:p>
    <w:p w14:paraId="15FD4EDA" w14:textId="31C6AEAE" w:rsidR="006E41F4" w:rsidRDefault="006E41F4">
      <w:pPr>
        <w:rPr>
          <w:rFonts w:ascii="Avenir Next" w:hAnsi="Avenir Next"/>
          <w:sz w:val="18"/>
          <w:szCs w:val="18"/>
        </w:rPr>
      </w:pPr>
    </w:p>
    <w:p w14:paraId="2E280681" w14:textId="508E4CAB" w:rsidR="006E41F4" w:rsidRDefault="006E41F4">
      <w:pPr>
        <w:rPr>
          <w:rFonts w:ascii="Avenir Next" w:hAnsi="Avenir Next"/>
          <w:sz w:val="18"/>
          <w:szCs w:val="18"/>
        </w:rPr>
      </w:pPr>
    </w:p>
    <w:p w14:paraId="7E2012BC" w14:textId="2F7BB59A" w:rsidR="006E41F4" w:rsidRDefault="006E41F4">
      <w:pPr>
        <w:rPr>
          <w:rFonts w:ascii="Avenir Next" w:hAnsi="Avenir Next"/>
          <w:sz w:val="18"/>
          <w:szCs w:val="18"/>
        </w:rPr>
      </w:pPr>
    </w:p>
    <w:p w14:paraId="37F29FCD" w14:textId="71E9408E" w:rsidR="006E41F4" w:rsidRDefault="006E41F4">
      <w:pPr>
        <w:rPr>
          <w:rFonts w:ascii="Avenir Next" w:hAnsi="Avenir Next"/>
          <w:sz w:val="18"/>
          <w:szCs w:val="18"/>
        </w:rPr>
      </w:pPr>
    </w:p>
    <w:p w14:paraId="1C5E738F" w14:textId="6E84050C" w:rsidR="006E41F4" w:rsidRDefault="006E41F4">
      <w:pPr>
        <w:rPr>
          <w:rFonts w:ascii="Avenir Next" w:hAnsi="Avenir Next"/>
          <w:sz w:val="18"/>
          <w:szCs w:val="18"/>
        </w:rPr>
      </w:pPr>
    </w:p>
    <w:p w14:paraId="59C27DDE" w14:textId="156385B1" w:rsidR="006E41F4" w:rsidRDefault="006E41F4">
      <w:pPr>
        <w:rPr>
          <w:rFonts w:ascii="Avenir Next" w:hAnsi="Avenir Next"/>
          <w:sz w:val="18"/>
          <w:szCs w:val="18"/>
        </w:rPr>
      </w:pPr>
    </w:p>
    <w:p w14:paraId="260C9B30" w14:textId="4CAA49A4" w:rsidR="006E41F4" w:rsidRDefault="006E41F4">
      <w:pPr>
        <w:rPr>
          <w:rFonts w:ascii="Avenir Next" w:hAnsi="Avenir Next"/>
          <w:sz w:val="18"/>
          <w:szCs w:val="18"/>
        </w:rPr>
      </w:pPr>
    </w:p>
    <w:p w14:paraId="3BD8042D" w14:textId="692505E4" w:rsidR="006E41F4" w:rsidRDefault="006E41F4">
      <w:pPr>
        <w:rPr>
          <w:rFonts w:ascii="Avenir Next" w:hAnsi="Avenir Next"/>
          <w:sz w:val="18"/>
          <w:szCs w:val="18"/>
        </w:rPr>
      </w:pPr>
    </w:p>
    <w:p w14:paraId="4C5FE9F9" w14:textId="169FCFC0" w:rsidR="006E41F4" w:rsidRDefault="006E41F4">
      <w:pPr>
        <w:rPr>
          <w:rFonts w:ascii="Avenir Next" w:hAnsi="Avenir Next"/>
          <w:sz w:val="18"/>
          <w:szCs w:val="18"/>
        </w:rPr>
      </w:pPr>
    </w:p>
    <w:p w14:paraId="0BF1A782" w14:textId="50B3E6E4" w:rsidR="006E41F4" w:rsidRDefault="006E41F4">
      <w:pPr>
        <w:rPr>
          <w:rFonts w:ascii="Avenir Next" w:hAnsi="Avenir Next"/>
          <w:sz w:val="18"/>
          <w:szCs w:val="18"/>
        </w:rPr>
      </w:pPr>
    </w:p>
    <w:p w14:paraId="20AD894E" w14:textId="3C792BF6" w:rsidR="006E41F4" w:rsidRDefault="006E41F4">
      <w:pPr>
        <w:rPr>
          <w:rFonts w:ascii="Avenir Next" w:hAnsi="Avenir Next"/>
          <w:sz w:val="18"/>
          <w:szCs w:val="18"/>
        </w:rPr>
      </w:pPr>
    </w:p>
    <w:p w14:paraId="5ED48798" w14:textId="1067A7BA" w:rsidR="006E41F4" w:rsidRPr="00AE6183" w:rsidRDefault="003A77D1" w:rsidP="006E41F4">
      <w:pPr>
        <w:spacing w:after="120" w:line="276" w:lineRule="auto"/>
        <w:rPr>
          <w:rFonts w:ascii="DINOT-Light" w:hAnsi="DINOT-Light" w:cs="Arial"/>
          <w:b/>
          <w:szCs w:val="20"/>
        </w:rPr>
      </w:pPr>
      <w:r w:rsidRPr="003A77D1">
        <w:rPr>
          <w:rFonts w:ascii="DINOT-Light" w:hAnsi="DINOT-Light" w:cs="Arial"/>
          <w:b/>
          <w:noProof/>
          <w:bdr w:val="nil"/>
        </w:rPr>
        <w:lastRenderedPageBreak/>
        <w:drawing>
          <wp:anchor distT="0" distB="0" distL="114300" distR="114300" simplePos="0" relativeHeight="251658240" behindDoc="1" locked="0" layoutInCell="1" allowOverlap="1" wp14:anchorId="257D7C8D" wp14:editId="4E56745D">
            <wp:simplePos x="0" y="0"/>
            <wp:positionH relativeFrom="column">
              <wp:posOffset>3318933</wp:posOffset>
            </wp:positionH>
            <wp:positionV relativeFrom="paragraph">
              <wp:posOffset>9737</wp:posOffset>
            </wp:positionV>
            <wp:extent cx="2522855" cy="3598545"/>
            <wp:effectExtent l="0" t="0" r="0" b="0"/>
            <wp:wrapTight wrapText="bothSides">
              <wp:wrapPolygon edited="0">
                <wp:start x="7503" y="2630"/>
                <wp:lineTo x="6850" y="4688"/>
                <wp:lineTo x="6035" y="6518"/>
                <wp:lineTo x="4893" y="8347"/>
                <wp:lineTo x="4241" y="10177"/>
                <wp:lineTo x="4567" y="12006"/>
                <wp:lineTo x="6687" y="15665"/>
                <wp:lineTo x="7176" y="20582"/>
                <wp:lineTo x="7340" y="20811"/>
                <wp:lineTo x="14190" y="20811"/>
                <wp:lineTo x="14516" y="20468"/>
                <wp:lineTo x="14516" y="19668"/>
                <wp:lineTo x="14190" y="19325"/>
                <wp:lineTo x="15168" y="15665"/>
                <wp:lineTo x="16147" y="13836"/>
                <wp:lineTo x="18594" y="10634"/>
                <wp:lineTo x="18594" y="10177"/>
                <wp:lineTo x="16799" y="8347"/>
                <wp:lineTo x="15658" y="6518"/>
                <wp:lineTo x="14842" y="4688"/>
                <wp:lineTo x="14190" y="2630"/>
                <wp:lineTo x="7503" y="2630"/>
              </wp:wrapPolygon>
            </wp:wrapTight>
            <wp:docPr id="1" name="Picture 1" descr="\\WJEZEN-SCHLOE\Departement_MarCom_Dossiers\_Communication 2019\PR\1. PRESS KITS\1. POST BASELWORLD\DEFY CLASSIC MYKONOS EDITION\PICS\49.9004.670.51.R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EZEN-SCHLOE\Departement_MarCom_Dossiers\_Communication 2019\PR\1. PRESS KITS\1. POST BASELWORLD\DEFY CLASSIC MYKONOS EDITION\PICS\49.9004.670.51.R59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22855" cy="3598545"/>
                    </a:xfrm>
                    <a:prstGeom prst="rect">
                      <a:avLst/>
                    </a:prstGeom>
                    <a:noFill/>
                    <a:ln>
                      <a:noFill/>
                    </a:ln>
                  </pic:spPr>
                </pic:pic>
              </a:graphicData>
            </a:graphic>
          </wp:anchor>
        </w:drawing>
      </w:r>
      <w:r w:rsidR="006E41F4">
        <w:rPr>
          <w:rFonts w:ascii="DINOT-Light" w:hAnsi="DINOT-Light" w:cs="Arial"/>
          <w:b/>
          <w:bdr w:val="nil"/>
        </w:rPr>
        <w:t>DEFY CLASSIC MYKONOS EDITION</w:t>
      </w:r>
    </w:p>
    <w:p w14:paraId="1A62B02E" w14:textId="7299C6AC" w:rsidR="006E41F4" w:rsidRPr="00AE6183" w:rsidRDefault="006E41F4" w:rsidP="006E41F4">
      <w:pPr>
        <w:spacing w:line="276" w:lineRule="auto"/>
        <w:rPr>
          <w:rFonts w:ascii="DINOT-Light" w:hAnsi="DINOT-Light" w:cs="Arial"/>
          <w:sz w:val="18"/>
          <w:szCs w:val="20"/>
        </w:rPr>
      </w:pPr>
      <w:r>
        <w:rPr>
          <w:rFonts w:ascii="DINOT-Light" w:hAnsi="DINOT-Light" w:cs="Arial"/>
          <w:sz w:val="18"/>
          <w:bdr w:val="nil"/>
        </w:rPr>
        <w:t>EDIZIONE LIMITATA 25 ESEMPLARI</w:t>
      </w:r>
    </w:p>
    <w:p w14:paraId="570DA602" w14:textId="4F05C51F" w:rsidR="006E41F4" w:rsidRPr="00AE6183" w:rsidRDefault="006E41F4" w:rsidP="006E41F4">
      <w:pPr>
        <w:spacing w:line="276" w:lineRule="auto"/>
        <w:rPr>
          <w:rFonts w:ascii="DINOT-Light" w:hAnsi="DINOT-Light" w:cs="Arial"/>
          <w:sz w:val="18"/>
          <w:szCs w:val="20"/>
        </w:rPr>
      </w:pPr>
    </w:p>
    <w:p w14:paraId="41A677A3" w14:textId="77777777" w:rsidR="006E41F4" w:rsidRPr="009C0AF6" w:rsidRDefault="006E41F4" w:rsidP="006E41F4">
      <w:pPr>
        <w:spacing w:after="40" w:line="276" w:lineRule="auto"/>
        <w:rPr>
          <w:rFonts w:ascii="DINOT-Light" w:hAnsi="DINOT-Light" w:cs="Arial"/>
          <w:b/>
          <w:sz w:val="18"/>
          <w:szCs w:val="20"/>
        </w:rPr>
      </w:pPr>
      <w:r>
        <w:rPr>
          <w:rFonts w:ascii="DINOT-Light" w:hAnsi="DINOT-Light" w:cs="Arial"/>
          <w:sz w:val="18"/>
          <w:bdr w:val="nil"/>
        </w:rPr>
        <w:t xml:space="preserve">Referenza: </w:t>
      </w:r>
      <w:r>
        <w:rPr>
          <w:rFonts w:ascii="DINOT-Light" w:hAnsi="DINOT-Light" w:cs="Arial"/>
          <w:b/>
          <w:sz w:val="18"/>
          <w:bdr w:val="nil"/>
        </w:rPr>
        <w:t>49.9004.670/</w:t>
      </w:r>
      <w:proofErr w:type="gramStart"/>
      <w:r>
        <w:rPr>
          <w:rFonts w:ascii="DINOT-Light" w:hAnsi="DINOT-Light" w:cs="Arial"/>
          <w:b/>
          <w:sz w:val="18"/>
          <w:bdr w:val="nil"/>
        </w:rPr>
        <w:t>51.R</w:t>
      </w:r>
      <w:proofErr w:type="gramEnd"/>
      <w:r>
        <w:rPr>
          <w:rFonts w:ascii="DINOT-Light" w:hAnsi="DINOT-Light" w:cs="Arial"/>
          <w:b/>
          <w:sz w:val="18"/>
          <w:bdr w:val="nil"/>
        </w:rPr>
        <w:t>599</w:t>
      </w:r>
    </w:p>
    <w:p w14:paraId="2A488B0C" w14:textId="77777777" w:rsidR="006E41F4" w:rsidRPr="00AE6183" w:rsidRDefault="006E41F4" w:rsidP="006E41F4">
      <w:pPr>
        <w:spacing w:after="40" w:line="276" w:lineRule="auto"/>
        <w:rPr>
          <w:rFonts w:ascii="DINOT-Light" w:hAnsi="DINOT-Light" w:cs="Arial"/>
          <w:b/>
          <w:sz w:val="18"/>
          <w:szCs w:val="20"/>
        </w:rPr>
      </w:pPr>
    </w:p>
    <w:p w14:paraId="3C0B153D" w14:textId="77777777" w:rsidR="006E41F4" w:rsidRPr="00AE6183" w:rsidRDefault="006E41F4" w:rsidP="006E41F4">
      <w:pPr>
        <w:spacing w:after="40" w:line="276" w:lineRule="auto"/>
        <w:rPr>
          <w:rFonts w:ascii="DINOT-Light" w:hAnsi="DINOT-Light" w:cs="Arial"/>
          <w:b/>
          <w:sz w:val="18"/>
          <w:szCs w:val="20"/>
        </w:rPr>
      </w:pPr>
      <w:r>
        <w:rPr>
          <w:rFonts w:ascii="DINOT-Light" w:hAnsi="DINOT-Light" w:cs="Arial"/>
          <w:b/>
          <w:sz w:val="18"/>
          <w:bdr w:val="nil"/>
        </w:rPr>
        <w:t xml:space="preserve">PUNTI CHIAVE </w:t>
      </w:r>
    </w:p>
    <w:p w14:paraId="103AA2C0"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Movimento scheletrato Elite </w:t>
      </w:r>
    </w:p>
    <w:p w14:paraId="34824E35"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NUOVA cassa in ceramica blu del diametro di 41 mm</w:t>
      </w:r>
    </w:p>
    <w:p w14:paraId="05FF1269"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Ruota di scappamento e ancora in silicio </w:t>
      </w:r>
    </w:p>
    <w:p w14:paraId="257200BE" w14:textId="77777777" w:rsidR="006E41F4" w:rsidRPr="00AE6183" w:rsidRDefault="006E41F4" w:rsidP="006E41F4">
      <w:pPr>
        <w:spacing w:after="40" w:line="276" w:lineRule="auto"/>
        <w:rPr>
          <w:rFonts w:ascii="DINOT-Light" w:hAnsi="DINOT-Light" w:cs="Arial"/>
          <w:sz w:val="18"/>
          <w:szCs w:val="20"/>
        </w:rPr>
      </w:pPr>
    </w:p>
    <w:p w14:paraId="21932E26" w14:textId="77777777" w:rsidR="006E41F4" w:rsidRPr="00AE6183" w:rsidRDefault="006E41F4" w:rsidP="006E41F4">
      <w:pPr>
        <w:spacing w:after="40" w:line="276" w:lineRule="auto"/>
        <w:rPr>
          <w:rFonts w:ascii="DINOT-Light" w:hAnsi="DINOT-Light" w:cs="Arial"/>
          <w:b/>
          <w:sz w:val="18"/>
          <w:szCs w:val="20"/>
        </w:rPr>
      </w:pPr>
      <w:r>
        <w:rPr>
          <w:rFonts w:ascii="DINOT-Light" w:hAnsi="DINOT-Light" w:cs="Arial"/>
          <w:b/>
          <w:sz w:val="18"/>
          <w:bdr w:val="nil"/>
        </w:rPr>
        <w:t>MOVIMENTO</w:t>
      </w:r>
    </w:p>
    <w:p w14:paraId="265E3954" w14:textId="77777777" w:rsidR="006E41F4" w:rsidRPr="00A109A1" w:rsidRDefault="006E41F4" w:rsidP="006E41F4">
      <w:pPr>
        <w:spacing w:after="40" w:line="276" w:lineRule="auto"/>
        <w:rPr>
          <w:rFonts w:ascii="DINOT-Light" w:hAnsi="DINOT-Light" w:cs="Arial"/>
          <w:sz w:val="18"/>
          <w:szCs w:val="20"/>
        </w:rPr>
      </w:pPr>
      <w:r>
        <w:rPr>
          <w:rFonts w:ascii="DINOT-Light" w:hAnsi="DINOT-Light" w:cs="Arial"/>
          <w:sz w:val="18"/>
          <w:bdr w:val="nil"/>
        </w:rPr>
        <w:t>Elite 670 SK, Automatico</w:t>
      </w:r>
    </w:p>
    <w:p w14:paraId="07CA16F9" w14:textId="77777777" w:rsidR="006E41F4" w:rsidRPr="00A109A1" w:rsidRDefault="006E41F4" w:rsidP="006E41F4">
      <w:pPr>
        <w:spacing w:after="40" w:line="276" w:lineRule="auto"/>
        <w:rPr>
          <w:rFonts w:ascii="DINOT-Light" w:hAnsi="DINOT-Light" w:cs="Arial"/>
          <w:sz w:val="18"/>
          <w:szCs w:val="20"/>
        </w:rPr>
      </w:pPr>
      <w:r>
        <w:rPr>
          <w:rFonts w:ascii="DINOT-Light" w:hAnsi="DINOT-Light" w:cs="Arial"/>
          <w:sz w:val="18"/>
          <w:bdr w:val="nil"/>
        </w:rPr>
        <w:t>Calibro: 11 ½``` (Diametro: 25,60 mm)</w:t>
      </w:r>
    </w:p>
    <w:p w14:paraId="6EDFFE8F"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Spessore del movimento: 3,88 mm</w:t>
      </w:r>
    </w:p>
    <w:p w14:paraId="2235A551"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Componenti: 187</w:t>
      </w:r>
    </w:p>
    <w:p w14:paraId="7F13E785"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Rubini: 27</w:t>
      </w:r>
    </w:p>
    <w:p w14:paraId="39A5C404"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Riserva di carica: min. 50 ore</w:t>
      </w:r>
    </w:p>
    <w:p w14:paraId="275D9A1B"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Finitura: speciale massa oscillante con finitura spazzolata satinata</w:t>
      </w:r>
    </w:p>
    <w:p w14:paraId="4CEDD0AE" w14:textId="77777777" w:rsidR="006E41F4" w:rsidRPr="00AE6183" w:rsidRDefault="006E41F4" w:rsidP="006E41F4">
      <w:pPr>
        <w:spacing w:after="40" w:line="276" w:lineRule="auto"/>
        <w:rPr>
          <w:rFonts w:ascii="DINOT-Light" w:hAnsi="DINOT-Light" w:cs="Arial"/>
          <w:sz w:val="18"/>
          <w:szCs w:val="20"/>
        </w:rPr>
      </w:pPr>
    </w:p>
    <w:p w14:paraId="5A6B7901" w14:textId="77777777" w:rsidR="006E41F4" w:rsidRPr="00AE6183" w:rsidRDefault="006E41F4" w:rsidP="006E41F4">
      <w:pPr>
        <w:spacing w:after="40" w:line="276" w:lineRule="auto"/>
        <w:rPr>
          <w:rFonts w:ascii="DINOT-Light" w:hAnsi="DINOT-Light" w:cs="Arial"/>
          <w:b/>
          <w:sz w:val="18"/>
          <w:szCs w:val="20"/>
        </w:rPr>
      </w:pPr>
      <w:r>
        <w:rPr>
          <w:rFonts w:ascii="DINOT-Light" w:hAnsi="DINOT-Light" w:cs="Arial"/>
          <w:b/>
          <w:sz w:val="18"/>
          <w:bdr w:val="nil"/>
        </w:rPr>
        <w:t>FUNZIONI</w:t>
      </w:r>
    </w:p>
    <w:p w14:paraId="680DF460"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Ore e minuti al centro</w:t>
      </w:r>
    </w:p>
    <w:p w14:paraId="7A64FEFB"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Lancetta dei secondi al centro </w:t>
      </w:r>
    </w:p>
    <w:p w14:paraId="0F96E9E8"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Datario a ore 6</w:t>
      </w:r>
    </w:p>
    <w:p w14:paraId="2B983389" w14:textId="77777777" w:rsidR="006E41F4" w:rsidRPr="00AE6183" w:rsidRDefault="006E41F4" w:rsidP="006E41F4">
      <w:pPr>
        <w:spacing w:after="40" w:line="276" w:lineRule="auto"/>
        <w:rPr>
          <w:rFonts w:ascii="DINOT-Light" w:hAnsi="DINOT-Light" w:cs="Arial"/>
          <w:sz w:val="18"/>
          <w:szCs w:val="20"/>
        </w:rPr>
      </w:pPr>
    </w:p>
    <w:p w14:paraId="08FDE8D6" w14:textId="77777777" w:rsidR="006E41F4" w:rsidRPr="00AE6183" w:rsidRDefault="006E41F4" w:rsidP="006E41F4">
      <w:pPr>
        <w:spacing w:after="40" w:line="276" w:lineRule="auto"/>
        <w:rPr>
          <w:rFonts w:ascii="DINOT-Light" w:hAnsi="DINOT-Light" w:cs="Arial"/>
          <w:b/>
          <w:sz w:val="18"/>
          <w:szCs w:val="20"/>
        </w:rPr>
      </w:pPr>
      <w:r>
        <w:rPr>
          <w:rFonts w:ascii="DINOT-Light" w:hAnsi="DINOT-Light" w:cs="Arial"/>
          <w:b/>
          <w:sz w:val="18"/>
          <w:bdr w:val="nil"/>
        </w:rPr>
        <w:t>CASSA, QUADRANTE E LANCETTE</w:t>
      </w:r>
      <w:bookmarkStart w:id="0" w:name="_GoBack"/>
      <w:bookmarkEnd w:id="0"/>
    </w:p>
    <w:p w14:paraId="0FDA19F6"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Diametro: 41 mm</w:t>
      </w:r>
    </w:p>
    <w:p w14:paraId="3D229908"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Apertura diametro: 32,5 mm</w:t>
      </w:r>
    </w:p>
    <w:p w14:paraId="73559741"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Spessore: 10,75 mm</w:t>
      </w:r>
    </w:p>
    <w:p w14:paraId="3598802A"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Vetro: vetro zaffiro bombato con trattamento antiriflesso sui due lati</w:t>
      </w:r>
    </w:p>
    <w:p w14:paraId="3679A64C" w14:textId="77777777" w:rsidR="006E41F4" w:rsidRPr="00531D15"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Fondello: Vetro zaffiro trasparente speciale adornato con esclusivo logo </w:t>
      </w:r>
      <w:proofErr w:type="spellStart"/>
      <w:r>
        <w:rPr>
          <w:rFonts w:ascii="DINOT-Light" w:hAnsi="DINOT-Light" w:cs="Arial"/>
          <w:sz w:val="18"/>
          <w:bdr w:val="nil"/>
        </w:rPr>
        <w:t>Mykonos</w:t>
      </w:r>
      <w:proofErr w:type="spellEnd"/>
    </w:p>
    <w:p w14:paraId="73ED7FAF"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Materiale: ceramica blu</w:t>
      </w:r>
    </w:p>
    <w:p w14:paraId="794840C0"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Impermeabilità: 10 ATM</w:t>
      </w:r>
    </w:p>
    <w:p w14:paraId="63E90068"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Quadrante: scheletrato blu </w:t>
      </w:r>
    </w:p>
    <w:p w14:paraId="7CC17CF4"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Indici delle ore: Rodiati, sfaccettati e rivestiti con Super-</w:t>
      </w:r>
      <w:proofErr w:type="spellStart"/>
      <w:r>
        <w:rPr>
          <w:rFonts w:ascii="DINOT-Light" w:hAnsi="DINOT-Light" w:cs="Arial"/>
          <w:sz w:val="18"/>
          <w:bdr w:val="nil"/>
        </w:rPr>
        <w:t>LumiNova</w:t>
      </w:r>
      <w:proofErr w:type="spellEnd"/>
      <w:r>
        <w:rPr>
          <w:rFonts w:ascii="DINOT-Light" w:hAnsi="DINOT-Light" w:cs="Arial"/>
          <w:sz w:val="18"/>
          <w:bdr w:val="nil"/>
        </w:rPr>
        <w:t>® blu</w:t>
      </w:r>
    </w:p>
    <w:p w14:paraId="25E3A16A"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Lancette: Rodiati, sfaccettati e rivestiti con Super-</w:t>
      </w:r>
      <w:proofErr w:type="spellStart"/>
      <w:r>
        <w:rPr>
          <w:rFonts w:ascii="DINOT-Light" w:hAnsi="DINOT-Light" w:cs="Arial"/>
          <w:sz w:val="18"/>
          <w:bdr w:val="nil"/>
        </w:rPr>
        <w:t>LumiNova</w:t>
      </w:r>
      <w:proofErr w:type="spellEnd"/>
      <w:r>
        <w:rPr>
          <w:rFonts w:ascii="DINOT-Light" w:hAnsi="DINOT-Light" w:cs="Arial"/>
          <w:sz w:val="18"/>
          <w:bdr w:val="nil"/>
        </w:rPr>
        <w:t>® blu</w:t>
      </w:r>
    </w:p>
    <w:p w14:paraId="28B43441" w14:textId="77777777" w:rsidR="006E41F4" w:rsidRPr="00AE6183" w:rsidRDefault="006E41F4" w:rsidP="006E41F4">
      <w:pPr>
        <w:spacing w:after="40" w:line="276" w:lineRule="auto"/>
        <w:rPr>
          <w:rFonts w:ascii="DINOT-Light" w:hAnsi="DINOT-Light" w:cs="Arial"/>
          <w:sz w:val="18"/>
          <w:szCs w:val="20"/>
        </w:rPr>
      </w:pPr>
    </w:p>
    <w:p w14:paraId="244565CD" w14:textId="77777777" w:rsidR="006E41F4" w:rsidRPr="00AE6183" w:rsidRDefault="006E41F4" w:rsidP="006E41F4">
      <w:pPr>
        <w:spacing w:after="40" w:line="276" w:lineRule="auto"/>
        <w:rPr>
          <w:rFonts w:ascii="DINOT-Light" w:hAnsi="DINOT-Light" w:cs="Arial"/>
          <w:b/>
          <w:sz w:val="18"/>
          <w:szCs w:val="20"/>
        </w:rPr>
      </w:pPr>
      <w:r>
        <w:rPr>
          <w:rFonts w:ascii="DINOT-Light" w:hAnsi="DINOT-Light" w:cs="Arial"/>
          <w:b/>
          <w:sz w:val="18"/>
          <w:bdr w:val="nil"/>
        </w:rPr>
        <w:t>CINTURINO E FIBBIA</w:t>
      </w:r>
    </w:p>
    <w:p w14:paraId="155F2831" w14:textId="77777777" w:rsidR="006E41F4" w:rsidRPr="00AE6183"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Cinturino: Cinturino speciale in caucciù bianco con motivo effetto “strada di </w:t>
      </w:r>
      <w:proofErr w:type="spellStart"/>
      <w:r>
        <w:rPr>
          <w:rFonts w:ascii="DINOT-Light" w:hAnsi="DINOT-Light" w:cs="Arial"/>
          <w:sz w:val="18"/>
          <w:bdr w:val="nil"/>
        </w:rPr>
        <w:t>Mykonos</w:t>
      </w:r>
      <w:proofErr w:type="spellEnd"/>
      <w:r>
        <w:rPr>
          <w:rFonts w:ascii="DINOT-Light" w:hAnsi="DINOT-Light" w:cs="Arial"/>
          <w:sz w:val="18"/>
          <w:bdr w:val="nil"/>
        </w:rPr>
        <w:t>” blu</w:t>
      </w:r>
    </w:p>
    <w:p w14:paraId="7E95948C" w14:textId="77777777" w:rsidR="006E41F4" w:rsidRDefault="006E41F4" w:rsidP="006E41F4">
      <w:pPr>
        <w:spacing w:after="40" w:line="276" w:lineRule="auto"/>
        <w:rPr>
          <w:rFonts w:ascii="DINOT-Light" w:hAnsi="DINOT-Light" w:cs="Arial"/>
          <w:sz w:val="18"/>
          <w:szCs w:val="20"/>
        </w:rPr>
      </w:pPr>
      <w:r>
        <w:rPr>
          <w:rFonts w:ascii="DINOT-Light" w:hAnsi="DINOT-Light" w:cs="Arial"/>
          <w:sz w:val="18"/>
          <w:bdr w:val="nil"/>
        </w:rPr>
        <w:t>Fornito anche con cinturino in caucciù bianco (27.00.2218.792)</w:t>
      </w:r>
    </w:p>
    <w:p w14:paraId="4B70BA44" w14:textId="77777777" w:rsidR="006E41F4" w:rsidRPr="009C0AF6" w:rsidRDefault="006E41F4" w:rsidP="006E41F4">
      <w:pPr>
        <w:spacing w:after="40" w:line="276" w:lineRule="auto"/>
        <w:rPr>
          <w:rFonts w:ascii="DINOT-Light" w:hAnsi="DINOT-Light" w:cs="Arial"/>
          <w:sz w:val="18"/>
          <w:szCs w:val="20"/>
        </w:rPr>
      </w:pPr>
      <w:r>
        <w:rPr>
          <w:rFonts w:ascii="DINOT-Light" w:hAnsi="DINOT-Light" w:cs="Arial"/>
          <w:sz w:val="18"/>
          <w:bdr w:val="nil"/>
        </w:rPr>
        <w:t xml:space="preserve">Fibbia: Doppia fibbia </w:t>
      </w:r>
      <w:proofErr w:type="spellStart"/>
      <w:r>
        <w:rPr>
          <w:rFonts w:ascii="DINOT-Light" w:hAnsi="DINOT-Light" w:cs="Arial"/>
          <w:sz w:val="18"/>
          <w:bdr w:val="nil"/>
        </w:rPr>
        <w:t>deployante</w:t>
      </w:r>
      <w:proofErr w:type="spellEnd"/>
      <w:r>
        <w:rPr>
          <w:rFonts w:ascii="DINOT-Light" w:hAnsi="DINOT-Light" w:cs="Arial"/>
          <w:sz w:val="18"/>
          <w:bdr w:val="nil"/>
        </w:rPr>
        <w:t xml:space="preserve"> in titanio con testa in ceramica blu</w:t>
      </w:r>
    </w:p>
    <w:p w14:paraId="3EA6A2D6" w14:textId="77777777" w:rsidR="006E41F4" w:rsidRPr="00AE6183" w:rsidRDefault="006E41F4" w:rsidP="006E41F4">
      <w:pPr>
        <w:spacing w:after="40" w:line="276" w:lineRule="auto"/>
        <w:rPr>
          <w:rFonts w:ascii="DINOT-Light" w:hAnsi="DINOT-Light" w:cs="Arial"/>
          <w:sz w:val="18"/>
          <w:szCs w:val="20"/>
        </w:rPr>
      </w:pPr>
    </w:p>
    <w:p w14:paraId="19C1C74F" w14:textId="77777777" w:rsidR="006E41F4" w:rsidRPr="00AE6183" w:rsidRDefault="006E41F4" w:rsidP="006E41F4">
      <w:pPr>
        <w:spacing w:after="40" w:line="276" w:lineRule="auto"/>
        <w:rPr>
          <w:rFonts w:ascii="DINOT-Light" w:hAnsi="DINOT-Light" w:cs="Arial"/>
          <w:sz w:val="18"/>
          <w:szCs w:val="20"/>
        </w:rPr>
      </w:pPr>
    </w:p>
    <w:p w14:paraId="0F983FCE" w14:textId="77777777" w:rsidR="006E41F4" w:rsidRPr="00944080" w:rsidRDefault="006E41F4">
      <w:pPr>
        <w:rPr>
          <w:rFonts w:ascii="Avenir Next" w:hAnsi="Avenir Next"/>
          <w:sz w:val="18"/>
          <w:szCs w:val="18"/>
        </w:rPr>
      </w:pPr>
    </w:p>
    <w:sectPr w:rsidR="006E41F4" w:rsidRPr="00944080" w:rsidSect="00D61DDE">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3A24A" w14:textId="77777777" w:rsidR="00E46A28" w:rsidRDefault="00E46A28" w:rsidP="009F1CDE">
      <w:r>
        <w:separator/>
      </w:r>
    </w:p>
  </w:endnote>
  <w:endnote w:type="continuationSeparator" w:id="0">
    <w:p w14:paraId="29B2195F" w14:textId="77777777" w:rsidR="00E46A28" w:rsidRDefault="00E46A28" w:rsidP="009F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venir Next">
    <w:altName w:val="Arial"/>
    <w:panose1 w:val="020B0503020202020204"/>
    <w:charset w:val="00"/>
    <w:family w:val="swiss"/>
    <w:pitch w:val="variable"/>
    <w:sig w:usb0="800000A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DINOT-Light">
    <w:altName w:val="Calibri"/>
    <w:panose1 w:val="020B0504020101010102"/>
    <w:charset w:val="00"/>
    <w:family w:val="swiss"/>
    <w:notTrueType/>
    <w:pitch w:val="variable"/>
    <w:sig w:usb0="800000EF" w:usb1="4000A47B"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37442" w14:textId="77777777" w:rsidR="00944080" w:rsidRPr="00B127AF" w:rsidRDefault="00944080" w:rsidP="00944080">
    <w:pPr>
      <w:pStyle w:val="Footer"/>
      <w:jc w:val="center"/>
      <w:rPr>
        <w:rFonts w:ascii="Avenir Next" w:hAnsi="Avenir Next"/>
        <w:sz w:val="18"/>
        <w:szCs w:val="18"/>
        <w:lang w:val="fr-CH"/>
      </w:rPr>
    </w:pPr>
    <w:r w:rsidRPr="00B127AF">
      <w:rPr>
        <w:rFonts w:ascii="Avenir Next" w:hAnsi="Avenir Next" w:cs="Times New Roman"/>
        <w:b/>
        <w:sz w:val="18"/>
        <w:bdr w:val="nil"/>
        <w:lang w:val="fr-CH"/>
      </w:rPr>
      <w:t>ZENITH</w:t>
    </w:r>
    <w:r w:rsidRPr="00B127AF">
      <w:rPr>
        <w:rFonts w:ascii="Avenir Next" w:hAnsi="Avenir Next" w:cs="Times New Roman"/>
        <w:sz w:val="18"/>
        <w:bdr w:val="nil"/>
        <w:lang w:val="fr-CH"/>
      </w:rPr>
      <w:t xml:space="preserve"> | www.zenith-watches.com | Rue des Billodes 34-36 | CH-2400 Le Locle</w:t>
    </w:r>
  </w:p>
  <w:p w14:paraId="5E9B7C16" w14:textId="0CAD7473" w:rsidR="00944080" w:rsidRPr="00B127AF" w:rsidRDefault="00944080" w:rsidP="00944080">
    <w:pPr>
      <w:pStyle w:val="Footer"/>
      <w:jc w:val="center"/>
      <w:rPr>
        <w:rFonts w:ascii="Avenir Next" w:hAnsi="Avenir Next"/>
        <w:sz w:val="18"/>
        <w:szCs w:val="18"/>
        <w:lang w:val="fr-CH"/>
      </w:rPr>
    </w:pPr>
    <w:r w:rsidRPr="00B127AF">
      <w:rPr>
        <w:rFonts w:ascii="Avenir Next" w:hAnsi="Avenir Next" w:cs="Times New Roman"/>
        <w:sz w:val="18"/>
        <w:bdr w:val="nil"/>
        <w:lang w:val="fr-CH"/>
      </w:rPr>
      <w:t xml:space="preserve">International Media Relations: </w:t>
    </w:r>
    <w:hyperlink r:id="rId1" w:history="1">
      <w:r w:rsidRPr="00B127AF">
        <w:rPr>
          <w:rStyle w:val="Hyperlink"/>
          <w:rFonts w:ascii="Avenir Next" w:hAnsi="Avenir Next" w:cs="Times New Roman"/>
          <w:sz w:val="18"/>
          <w:bdr w:val="nil"/>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5BD87" w14:textId="77777777" w:rsidR="00E46A28" w:rsidRDefault="00E46A28" w:rsidP="009F1CDE">
      <w:r>
        <w:separator/>
      </w:r>
    </w:p>
  </w:footnote>
  <w:footnote w:type="continuationSeparator" w:id="0">
    <w:p w14:paraId="1C7FD95A" w14:textId="77777777" w:rsidR="00E46A28" w:rsidRDefault="00E46A28" w:rsidP="009F1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B7F45" w14:textId="6B2A3670" w:rsidR="00944080" w:rsidRDefault="00944080" w:rsidP="00944080">
    <w:pPr>
      <w:pStyle w:val="Header"/>
      <w:jc w:val="center"/>
    </w:pPr>
    <w:r>
      <w:rPr>
        <w:noProof/>
        <w:lang w:val="fr-CH" w:eastAsia="ja-JP"/>
      </w:rPr>
      <w:drawing>
        <wp:inline distT="0" distB="0" distL="0" distR="0" wp14:anchorId="15C44612" wp14:editId="5F41A214">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4D775D4C" w14:textId="77777777" w:rsidR="00944080" w:rsidRDefault="00944080" w:rsidP="00944080">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1CDE"/>
    <w:rsid w:val="00067362"/>
    <w:rsid w:val="001F30AB"/>
    <w:rsid w:val="001F7B3E"/>
    <w:rsid w:val="00216062"/>
    <w:rsid w:val="00250089"/>
    <w:rsid w:val="003A77D1"/>
    <w:rsid w:val="003D47B8"/>
    <w:rsid w:val="004307A8"/>
    <w:rsid w:val="0045414F"/>
    <w:rsid w:val="005E0F2E"/>
    <w:rsid w:val="006A19A2"/>
    <w:rsid w:val="006C0450"/>
    <w:rsid w:val="006E41F4"/>
    <w:rsid w:val="007C654C"/>
    <w:rsid w:val="00944080"/>
    <w:rsid w:val="00974A18"/>
    <w:rsid w:val="009B2CFF"/>
    <w:rsid w:val="009F1CDE"/>
    <w:rsid w:val="00A00D34"/>
    <w:rsid w:val="00AD1504"/>
    <w:rsid w:val="00B127AF"/>
    <w:rsid w:val="00B21701"/>
    <w:rsid w:val="00B36605"/>
    <w:rsid w:val="00B51F73"/>
    <w:rsid w:val="00B61BFB"/>
    <w:rsid w:val="00B64B02"/>
    <w:rsid w:val="00C742CF"/>
    <w:rsid w:val="00CA1366"/>
    <w:rsid w:val="00CB3E4F"/>
    <w:rsid w:val="00D109D6"/>
    <w:rsid w:val="00D23A7C"/>
    <w:rsid w:val="00D470E3"/>
    <w:rsid w:val="00D61DDE"/>
    <w:rsid w:val="00E46A28"/>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C7EAD9F"/>
  <w14:defaultImageDpi w14:val="300"/>
  <w15:docId w15:val="{9FF2BC3A-D909-43EE-8344-C527D2C75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1CDE"/>
    <w:pPr>
      <w:tabs>
        <w:tab w:val="center" w:pos="4320"/>
        <w:tab w:val="right" w:pos="8640"/>
      </w:tabs>
    </w:pPr>
  </w:style>
  <w:style w:type="character" w:customStyle="1" w:styleId="HeaderChar">
    <w:name w:val="Header Char"/>
    <w:basedOn w:val="DefaultParagraphFont"/>
    <w:link w:val="Header"/>
    <w:uiPriority w:val="99"/>
    <w:rsid w:val="009F1CDE"/>
  </w:style>
  <w:style w:type="paragraph" w:styleId="Footer">
    <w:name w:val="footer"/>
    <w:basedOn w:val="Normal"/>
    <w:link w:val="FooterChar"/>
    <w:uiPriority w:val="99"/>
    <w:unhideWhenUsed/>
    <w:rsid w:val="009F1CDE"/>
    <w:pPr>
      <w:tabs>
        <w:tab w:val="center" w:pos="4320"/>
        <w:tab w:val="right" w:pos="8640"/>
      </w:tabs>
    </w:pPr>
  </w:style>
  <w:style w:type="character" w:customStyle="1" w:styleId="FooterChar">
    <w:name w:val="Footer Char"/>
    <w:basedOn w:val="DefaultParagraphFont"/>
    <w:link w:val="Footer"/>
    <w:uiPriority w:val="99"/>
    <w:rsid w:val="009F1CDE"/>
  </w:style>
  <w:style w:type="character" w:styleId="CommentReference">
    <w:name w:val="annotation reference"/>
    <w:basedOn w:val="DefaultParagraphFont"/>
    <w:uiPriority w:val="99"/>
    <w:semiHidden/>
    <w:unhideWhenUsed/>
    <w:rsid w:val="00A00D34"/>
    <w:rPr>
      <w:sz w:val="18"/>
      <w:szCs w:val="18"/>
    </w:rPr>
  </w:style>
  <w:style w:type="paragraph" w:styleId="CommentText">
    <w:name w:val="annotation text"/>
    <w:basedOn w:val="Normal"/>
    <w:link w:val="CommentTextChar"/>
    <w:uiPriority w:val="99"/>
    <w:semiHidden/>
    <w:unhideWhenUsed/>
    <w:rsid w:val="00A00D34"/>
  </w:style>
  <w:style w:type="character" w:customStyle="1" w:styleId="CommentTextChar">
    <w:name w:val="Comment Text Char"/>
    <w:basedOn w:val="DefaultParagraphFont"/>
    <w:link w:val="CommentText"/>
    <w:uiPriority w:val="99"/>
    <w:semiHidden/>
    <w:rsid w:val="00A00D34"/>
  </w:style>
  <w:style w:type="paragraph" w:styleId="CommentSubject">
    <w:name w:val="annotation subject"/>
    <w:basedOn w:val="CommentText"/>
    <w:next w:val="CommentText"/>
    <w:link w:val="CommentSubjectChar"/>
    <w:uiPriority w:val="99"/>
    <w:semiHidden/>
    <w:unhideWhenUsed/>
    <w:rsid w:val="00A00D34"/>
    <w:rPr>
      <w:b/>
      <w:bCs/>
      <w:sz w:val="20"/>
      <w:szCs w:val="20"/>
    </w:rPr>
  </w:style>
  <w:style w:type="character" w:customStyle="1" w:styleId="CommentSubjectChar">
    <w:name w:val="Comment Subject Char"/>
    <w:basedOn w:val="CommentTextChar"/>
    <w:link w:val="CommentSubject"/>
    <w:uiPriority w:val="99"/>
    <w:semiHidden/>
    <w:rsid w:val="00A00D34"/>
    <w:rPr>
      <w:b/>
      <w:bCs/>
      <w:sz w:val="20"/>
      <w:szCs w:val="20"/>
    </w:rPr>
  </w:style>
  <w:style w:type="paragraph" w:styleId="BalloonText">
    <w:name w:val="Balloon Text"/>
    <w:basedOn w:val="Normal"/>
    <w:link w:val="BalloonTextChar"/>
    <w:uiPriority w:val="99"/>
    <w:semiHidden/>
    <w:unhideWhenUsed/>
    <w:rsid w:val="00A00D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0D34"/>
    <w:rPr>
      <w:rFonts w:ascii="Lucida Grande" w:hAnsi="Lucida Grande" w:cs="Lucida Grande"/>
      <w:sz w:val="18"/>
      <w:szCs w:val="18"/>
    </w:rPr>
  </w:style>
  <w:style w:type="character" w:styleId="Hyperlink">
    <w:name w:val="Hyperlink"/>
    <w:rsid w:val="00944080"/>
    <w:rPr>
      <w:u w:val="single"/>
    </w:rPr>
  </w:style>
  <w:style w:type="character" w:customStyle="1" w:styleId="UnresolvedMention1">
    <w:name w:val="Unresolved Mention1"/>
    <w:basedOn w:val="DefaultParagraphFon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765014">
      <w:bodyDiv w:val="1"/>
      <w:marLeft w:val="0"/>
      <w:marRight w:val="0"/>
      <w:marTop w:val="0"/>
      <w:marBottom w:val="0"/>
      <w:divBdr>
        <w:top w:val="none" w:sz="0" w:space="0" w:color="auto"/>
        <w:left w:val="none" w:sz="0" w:space="0" w:color="auto"/>
        <w:bottom w:val="none" w:sz="0" w:space="0" w:color="auto"/>
        <w:right w:val="none" w:sz="0" w:space="0" w:color="auto"/>
      </w:divBdr>
    </w:div>
    <w:div w:id="453983229">
      <w:bodyDiv w:val="1"/>
      <w:marLeft w:val="0"/>
      <w:marRight w:val="0"/>
      <w:marTop w:val="0"/>
      <w:marBottom w:val="0"/>
      <w:divBdr>
        <w:top w:val="none" w:sz="0" w:space="0" w:color="auto"/>
        <w:left w:val="none" w:sz="0" w:space="0" w:color="auto"/>
        <w:bottom w:val="none" w:sz="0" w:space="0" w:color="auto"/>
        <w:right w:val="none" w:sz="0" w:space="0" w:color="auto"/>
      </w:divBdr>
    </w:div>
    <w:div w:id="461340203">
      <w:bodyDiv w:val="1"/>
      <w:marLeft w:val="0"/>
      <w:marRight w:val="0"/>
      <w:marTop w:val="0"/>
      <w:marBottom w:val="0"/>
      <w:divBdr>
        <w:top w:val="none" w:sz="0" w:space="0" w:color="auto"/>
        <w:left w:val="none" w:sz="0" w:space="0" w:color="auto"/>
        <w:bottom w:val="none" w:sz="0" w:space="0" w:color="auto"/>
        <w:right w:val="none" w:sz="0" w:space="0" w:color="auto"/>
      </w:divBdr>
    </w:div>
    <w:div w:id="483353662">
      <w:bodyDiv w:val="1"/>
      <w:marLeft w:val="0"/>
      <w:marRight w:val="0"/>
      <w:marTop w:val="0"/>
      <w:marBottom w:val="0"/>
      <w:divBdr>
        <w:top w:val="none" w:sz="0" w:space="0" w:color="auto"/>
        <w:left w:val="none" w:sz="0" w:space="0" w:color="auto"/>
        <w:bottom w:val="none" w:sz="0" w:space="0" w:color="auto"/>
        <w:right w:val="none" w:sz="0" w:space="0" w:color="auto"/>
      </w:divBdr>
    </w:div>
    <w:div w:id="772435347">
      <w:bodyDiv w:val="1"/>
      <w:marLeft w:val="0"/>
      <w:marRight w:val="0"/>
      <w:marTop w:val="0"/>
      <w:marBottom w:val="0"/>
      <w:divBdr>
        <w:top w:val="none" w:sz="0" w:space="0" w:color="auto"/>
        <w:left w:val="none" w:sz="0" w:space="0" w:color="auto"/>
        <w:bottom w:val="none" w:sz="0" w:space="0" w:color="auto"/>
        <w:right w:val="none" w:sz="0" w:space="0" w:color="auto"/>
      </w:divBdr>
    </w:div>
    <w:div w:id="1697846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ressroom.zenith-watches.com/login/?redirect_to=%2F&amp;reauth=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4818</Characters>
  <Application>Microsoft Office Word</Application>
  <DocSecurity>0</DocSecurity>
  <Lines>40</Lines>
  <Paragraphs>11</Paragraphs>
  <ScaleCrop>false</ScaleCrop>
  <Company>Lost In Time Sàrl</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6</cp:revision>
  <dcterms:created xsi:type="dcterms:W3CDTF">2019-05-29T14:08:00Z</dcterms:created>
  <dcterms:modified xsi:type="dcterms:W3CDTF">2019-06-25T08:38:00Z</dcterms:modified>
</cp:coreProperties>
</file>