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159C" w14:textId="72A8E8B5" w:rsidR="00BE7DDF" w:rsidRDefault="005A2EDF" w:rsidP="00C7722F">
      <w:pPr>
        <w:spacing w:line="276" w:lineRule="auto"/>
        <w:jc w:val="center"/>
        <w:rPr>
          <w:rFonts w:ascii="Avenir Next" w:hAnsi="Avenir Next"/>
          <w:b/>
          <w:noProof/>
        </w:rPr>
      </w:pPr>
      <w:r>
        <w:rPr>
          <w:rFonts w:ascii="Avenir Next" w:hAnsi="Avenir Next"/>
          <w:b/>
          <w:noProof/>
        </w:rPr>
        <w:t>EL PRIMERO A384 REVIVAL</w:t>
      </w:r>
    </w:p>
    <w:p w14:paraId="54F45765" w14:textId="77777777" w:rsidR="00B847FC" w:rsidRPr="00C7722F" w:rsidRDefault="00B847FC" w:rsidP="00C7722F">
      <w:pPr>
        <w:spacing w:line="276" w:lineRule="auto"/>
        <w:jc w:val="center"/>
        <w:rPr>
          <w:rFonts w:ascii="Avenir Next" w:hAnsi="Avenir Next" w:cs="Arial"/>
          <w:b/>
          <w:sz w:val="8"/>
          <w:bdr w:val="none" w:sz="0" w:space="0" w:color="auto"/>
        </w:rPr>
      </w:pPr>
    </w:p>
    <w:p w14:paraId="74661E3B" w14:textId="15AF96E7" w:rsidR="004334D2" w:rsidRDefault="00DD04B2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>Il momento è finalmente giunto: Zenith festeggia quest'anno il 50</w:t>
      </w:r>
      <w:r>
        <w:rPr>
          <w:rFonts w:ascii="Avenir Next" w:hAnsi="Avenir Next" w:cstheme="majorHAnsi"/>
          <w:b/>
          <w:color w:val="000000" w:themeColor="text1"/>
          <w:sz w:val="18"/>
          <w:vertAlign w:val="superscript"/>
        </w:rPr>
        <w:t>°</w:t>
      </w:r>
      <w:r>
        <w:rPr>
          <w:rFonts w:ascii="Avenir Next" w:hAnsi="Avenir Next" w:cstheme="majorHAnsi"/>
          <w:b/>
          <w:color w:val="000000" w:themeColor="text1"/>
          <w:sz w:val="18"/>
        </w:rPr>
        <w:t xml:space="preserve"> anniversario del calibro El Primero, lanciato nel 1969, nonché l'anniversario del primo orologio ad essere dotato di questo </w:t>
      </w:r>
      <w:r>
        <w:rPr>
          <w:rFonts w:ascii="Avenir Next" w:hAnsi="Avenir Next" w:cstheme="majorHAnsi"/>
          <w:b/>
          <w:sz w:val="18"/>
        </w:rPr>
        <w:t>rivoluzionario movimento</w:t>
      </w:r>
      <w:r w:rsidR="00F7017C">
        <w:rPr>
          <w:rFonts w:ascii="Avenir Next" w:hAnsi="Avenir Next" w:cstheme="majorHAnsi"/>
          <w:b/>
          <w:sz w:val="18"/>
        </w:rPr>
        <w:t>:</w:t>
      </w:r>
      <w:r>
        <w:rPr>
          <w:rFonts w:ascii="Avenir Next" w:hAnsi="Avenir Next" w:cstheme="majorHAnsi"/>
          <w:b/>
          <w:sz w:val="18"/>
        </w:rPr>
        <w:t xml:space="preserve"> </w:t>
      </w:r>
      <w:proofErr w:type="spellStart"/>
      <w:r>
        <w:rPr>
          <w:rFonts w:ascii="Avenir Next" w:hAnsi="Avenir Next" w:cstheme="majorHAnsi"/>
          <w:b/>
          <w:sz w:val="18"/>
        </w:rPr>
        <w:t>El</w:t>
      </w:r>
      <w:proofErr w:type="spellEnd"/>
      <w:r>
        <w:rPr>
          <w:rFonts w:ascii="Avenir Next" w:hAnsi="Avenir Next" w:cstheme="majorHAnsi"/>
          <w:b/>
          <w:sz w:val="18"/>
        </w:rPr>
        <w:t xml:space="preserve"> </w:t>
      </w:r>
      <w:proofErr w:type="spellStart"/>
      <w:r>
        <w:rPr>
          <w:rFonts w:ascii="Avenir Next" w:hAnsi="Avenir Next" w:cstheme="majorHAnsi"/>
          <w:b/>
          <w:sz w:val="18"/>
        </w:rPr>
        <w:t>Primero</w:t>
      </w:r>
      <w:proofErr w:type="spellEnd"/>
      <w:r>
        <w:rPr>
          <w:rFonts w:ascii="Avenir Next" w:hAnsi="Avenir Next" w:cstheme="majorHAnsi"/>
          <w:b/>
          <w:sz w:val="18"/>
        </w:rPr>
        <w:t xml:space="preserve"> A384. Con il suo design particolare ed immediatamente riconoscibile, A384 ha introdotto nel mondo dei cronografi una nuova concezione dello stile e della sostanza, diventando un iconico oggetto da collezione. </w:t>
      </w:r>
      <w:proofErr w:type="spellStart"/>
      <w:r>
        <w:rPr>
          <w:rFonts w:ascii="Avenir Next" w:hAnsi="Avenir Next"/>
          <w:b/>
          <w:color w:val="000000"/>
          <w:sz w:val="18"/>
          <w:bdr w:val="none" w:sz="0" w:space="0" w:color="auto" w:frame="1"/>
        </w:rPr>
        <w:t>El</w:t>
      </w:r>
      <w:proofErr w:type="spellEnd"/>
      <w:r>
        <w:rPr>
          <w:rFonts w:ascii="Avenir Next" w:hAnsi="Avenir Next"/>
          <w:b/>
          <w:color w:val="000000"/>
          <w:sz w:val="18"/>
          <w:bdr w:val="none" w:sz="0" w:space="0" w:color="auto" w:frame="1"/>
        </w:rPr>
        <w:t xml:space="preserve"> </w:t>
      </w:r>
      <w:proofErr w:type="spellStart"/>
      <w:r>
        <w:rPr>
          <w:rFonts w:ascii="Avenir Next" w:hAnsi="Avenir Next"/>
          <w:b/>
          <w:color w:val="000000"/>
          <w:sz w:val="18"/>
          <w:bdr w:val="none" w:sz="0" w:space="0" w:color="auto" w:frame="1"/>
        </w:rPr>
        <w:t>Primero</w:t>
      </w:r>
      <w:proofErr w:type="spellEnd"/>
      <w:r>
        <w:rPr>
          <w:rFonts w:ascii="Avenir Next" w:hAnsi="Avenir Next"/>
          <w:b/>
          <w:color w:val="000000"/>
          <w:sz w:val="18"/>
          <w:bdr w:val="none" w:sz="0" w:space="0" w:color="auto" w:frame="1"/>
        </w:rPr>
        <w:t xml:space="preserve"> A384 ritorna oggi sotto forma di una serie Revival</w:t>
      </w:r>
      <w:r>
        <w:rPr>
          <w:rFonts w:ascii="Avenir Next" w:hAnsi="Avenir Next" w:cstheme="majorHAnsi"/>
          <w:b/>
          <w:color w:val="000000" w:themeColor="text1"/>
          <w:sz w:val="18"/>
        </w:rPr>
        <w:t xml:space="preserve">. </w:t>
      </w:r>
      <w:r w:rsidR="00BB3291">
        <w:rPr>
          <w:rFonts w:ascii="Avenir Next" w:hAnsi="Avenir Next" w:cstheme="majorHAnsi"/>
          <w:b/>
          <w:sz w:val="18"/>
        </w:rPr>
        <w:t xml:space="preserve">Il </w:t>
      </w:r>
      <w:r>
        <w:rPr>
          <w:rFonts w:ascii="Avenir Next" w:hAnsi="Avenir Next" w:cstheme="majorHAnsi"/>
          <w:b/>
          <w:color w:val="000000" w:themeColor="text1"/>
          <w:sz w:val="18"/>
        </w:rPr>
        <w:t>Revival è molto più di un semplice orologio di ispirazione vintage, è infatti una ricostruzione storicamente precisa di uno dei cronografi più iconici mai creati. Con il suo stile rétro-futuristico, le proporzioni senza tempo e il mitico calibro cronograf</w:t>
      </w:r>
      <w:r w:rsidR="00046CAA">
        <w:rPr>
          <w:rFonts w:ascii="Avenir Next" w:hAnsi="Avenir Next" w:cstheme="majorHAnsi"/>
          <w:b/>
          <w:color w:val="000000" w:themeColor="text1"/>
          <w:sz w:val="18"/>
        </w:rPr>
        <w:t>ic</w:t>
      </w:r>
      <w:r>
        <w:rPr>
          <w:rFonts w:ascii="Avenir Next" w:hAnsi="Avenir Next" w:cstheme="majorHAnsi"/>
          <w:b/>
          <w:color w:val="000000" w:themeColor="text1"/>
          <w:sz w:val="18"/>
        </w:rPr>
        <w:t>o, l'A384 è il tassello conclusivo dell</w:t>
      </w:r>
      <w:r w:rsidR="00046CAA">
        <w:rPr>
          <w:rFonts w:ascii="Avenir Next" w:hAnsi="Avenir Next" w:cstheme="majorHAnsi"/>
          <w:b/>
          <w:color w:val="000000" w:themeColor="text1"/>
          <w:sz w:val="18"/>
        </w:rPr>
        <w:t xml:space="preserve">e </w:t>
      </w:r>
      <w:r>
        <w:rPr>
          <w:rFonts w:ascii="Avenir Next" w:hAnsi="Avenir Next" w:cstheme="majorHAnsi"/>
          <w:b/>
          <w:color w:val="000000" w:themeColor="text1"/>
          <w:sz w:val="18"/>
        </w:rPr>
        <w:t xml:space="preserve">serie </w:t>
      </w:r>
      <w:r w:rsidR="00046CAA">
        <w:rPr>
          <w:rFonts w:ascii="Avenir Next" w:hAnsi="Avenir Next" w:cstheme="majorHAnsi"/>
          <w:b/>
          <w:color w:val="000000" w:themeColor="text1"/>
          <w:sz w:val="18"/>
        </w:rPr>
        <w:t>celebrative del</w:t>
      </w:r>
      <w:r>
        <w:rPr>
          <w:rFonts w:ascii="Avenir Next" w:hAnsi="Avenir Next" w:cstheme="majorHAnsi"/>
          <w:b/>
          <w:color w:val="000000" w:themeColor="text1"/>
          <w:sz w:val="18"/>
        </w:rPr>
        <w:t xml:space="preserve"> 50</w:t>
      </w:r>
      <w:r>
        <w:rPr>
          <w:rFonts w:ascii="Avenir Next" w:hAnsi="Avenir Next" w:cstheme="majorHAnsi"/>
          <w:b/>
          <w:color w:val="000000" w:themeColor="text1"/>
          <w:sz w:val="18"/>
          <w:vertAlign w:val="superscript"/>
        </w:rPr>
        <w:t>°</w:t>
      </w:r>
      <w:r>
        <w:rPr>
          <w:rFonts w:ascii="Avenir Next" w:hAnsi="Avenir Next" w:cstheme="majorHAnsi"/>
          <w:b/>
          <w:color w:val="000000" w:themeColor="text1"/>
          <w:sz w:val="18"/>
        </w:rPr>
        <w:t xml:space="preserve"> anniversario d</w:t>
      </w:r>
      <w:r w:rsidR="00BB3291">
        <w:rPr>
          <w:rFonts w:ascii="Avenir Next" w:hAnsi="Avenir Next" w:cstheme="majorHAnsi"/>
          <w:b/>
          <w:color w:val="000000" w:themeColor="text1"/>
          <w:sz w:val="18"/>
        </w:rPr>
        <w:t xml:space="preserve">i </w:t>
      </w:r>
      <w:proofErr w:type="spellStart"/>
      <w:r>
        <w:rPr>
          <w:rFonts w:ascii="Avenir Next" w:hAnsi="Avenir Next" w:cstheme="majorHAnsi"/>
          <w:b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b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b/>
          <w:color w:val="000000" w:themeColor="text1"/>
          <w:sz w:val="18"/>
        </w:rPr>
        <w:t>.</w:t>
      </w:r>
    </w:p>
    <w:p w14:paraId="3F548274" w14:textId="581F54B2" w:rsidR="00F420BA" w:rsidRPr="00F420BA" w:rsidRDefault="00D858EF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color w:val="000000" w:themeColor="text1"/>
          <w:sz w:val="18"/>
        </w:rPr>
        <w:t>Quando nel 1969 è stato presentato per la prima volta, il calibro cronograf</w:t>
      </w:r>
      <w:r w:rsidR="004F0EE2">
        <w:rPr>
          <w:rFonts w:ascii="Avenir Next" w:hAnsi="Avenir Next" w:cstheme="majorHAnsi"/>
          <w:color w:val="000000" w:themeColor="text1"/>
          <w:sz w:val="18"/>
        </w:rPr>
        <w:t>ic</w:t>
      </w:r>
      <w:r>
        <w:rPr>
          <w:rFonts w:ascii="Avenir Next" w:hAnsi="Avenir Next" w:cstheme="majorHAnsi"/>
          <w:color w:val="000000" w:themeColor="text1"/>
          <w:sz w:val="18"/>
        </w:rPr>
        <w:t xml:space="preserve">o automatico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ha subito riscosso un successo travolgente. Era il primo movimento cronograf</w:t>
      </w:r>
      <w:r w:rsidR="00C20952">
        <w:rPr>
          <w:rFonts w:ascii="Avenir Next" w:hAnsi="Avenir Next" w:cstheme="majorHAnsi"/>
          <w:color w:val="000000" w:themeColor="text1"/>
          <w:sz w:val="18"/>
        </w:rPr>
        <w:t>ic</w:t>
      </w:r>
      <w:r>
        <w:rPr>
          <w:rFonts w:ascii="Avenir Next" w:hAnsi="Avenir Next" w:cstheme="majorHAnsi"/>
          <w:color w:val="000000" w:themeColor="text1"/>
          <w:sz w:val="18"/>
        </w:rPr>
        <w:t xml:space="preserve">o automatico ed esibiva una serie di caratteristiche uniche che gli hanno consentito di superare la prova del tempo e </w:t>
      </w:r>
      <w:r w:rsidR="00BB3291">
        <w:rPr>
          <w:rFonts w:ascii="Avenir Next" w:hAnsi="Avenir Next" w:cstheme="majorHAnsi"/>
          <w:color w:val="000000" w:themeColor="text1"/>
          <w:sz w:val="18"/>
        </w:rPr>
        <w:t xml:space="preserve">di </w:t>
      </w:r>
      <w:r>
        <w:rPr>
          <w:rFonts w:ascii="Avenir Next" w:hAnsi="Avenir Next" w:cstheme="majorHAnsi"/>
          <w:color w:val="000000" w:themeColor="text1"/>
          <w:sz w:val="18"/>
        </w:rPr>
        <w:t>rimanere un movimento eccezionale per mezzo secolo: alta frequenza di 36.000 alt/ora, meccanismo cronograf</w:t>
      </w:r>
      <w:r w:rsidR="00BB3291">
        <w:rPr>
          <w:rFonts w:ascii="Avenir Next" w:hAnsi="Avenir Next" w:cstheme="majorHAnsi"/>
          <w:color w:val="000000" w:themeColor="text1"/>
          <w:sz w:val="18"/>
        </w:rPr>
        <w:t>ic</w:t>
      </w:r>
      <w:r>
        <w:rPr>
          <w:rFonts w:ascii="Avenir Next" w:hAnsi="Avenir Next" w:cstheme="majorHAnsi"/>
          <w:color w:val="000000" w:themeColor="text1"/>
          <w:sz w:val="18"/>
        </w:rPr>
        <w:t>o con ruota a colonne e sistema di carica automatica che garantisce 50 ore di riserva di carica.</w:t>
      </w:r>
    </w:p>
    <w:p w14:paraId="732A5F3F" w14:textId="54D9D2E2" w:rsidR="00FD520B" w:rsidRPr="00F420BA" w:rsidRDefault="0056122D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color w:val="000000" w:themeColor="text1"/>
          <w:sz w:val="18"/>
        </w:rPr>
        <w:t xml:space="preserve">In concomitanza con l'annuncio del movimento, nel 1969, era stato annunciato anche il primo orologio che lo avrebbe adottato: Zenith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A384. Rivoluzionario come il suo movimento, l'A384 spiccava per il suo design originale. Per l'A384 Revival, Zenith ha cercato di preservare e riprodurre quasi tutto dell'orologio originale, adottando un approccio di “ingegneria </w:t>
      </w:r>
      <w:proofErr w:type="gramStart"/>
      <w:r>
        <w:rPr>
          <w:rFonts w:ascii="Avenir Next" w:hAnsi="Avenir Next" w:cstheme="majorHAnsi"/>
          <w:color w:val="000000" w:themeColor="text1"/>
          <w:sz w:val="18"/>
        </w:rPr>
        <w:t>inversa“ in</w:t>
      </w:r>
      <w:proofErr w:type="gramEnd"/>
      <w:r>
        <w:rPr>
          <w:rFonts w:ascii="Avenir Next" w:hAnsi="Avenir Next" w:cstheme="majorHAnsi"/>
          <w:color w:val="000000" w:themeColor="text1"/>
          <w:sz w:val="18"/>
        </w:rPr>
        <w:t xml:space="preserve"> cui ogni componente è fedele all'originale. Ogni pezzo dell'A384 originale del 1969 è stato digitalizzato per poter essere riprodotto fedelmente, dalla cassa in acciaio sfaccettata da 37 mm al quadrante tachimetrico laccato bianco e nero. Le sole differenze, o meglio miglioramenti, sono il vetro zaffiro in sostituzione di quello acrilico, il nuovo fondello che sostituisce quello in acciaio massiccio e la nuova versione del movimento cronograf</w:t>
      </w:r>
      <w:r w:rsidR="001935B5">
        <w:rPr>
          <w:rFonts w:ascii="Avenir Next" w:hAnsi="Avenir Next" w:cstheme="majorHAnsi"/>
          <w:color w:val="000000" w:themeColor="text1"/>
          <w:sz w:val="18"/>
        </w:rPr>
        <w:t>ic</w:t>
      </w:r>
      <w:r>
        <w:rPr>
          <w:rFonts w:ascii="Avenir Next" w:hAnsi="Avenir Next" w:cstheme="majorHAnsi"/>
          <w:color w:val="000000" w:themeColor="text1"/>
          <w:sz w:val="18"/>
        </w:rPr>
        <w:t xml:space="preserve">o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400, l'apice di mezzo secolo di costanti messe a punto e regolazioni. In linea con il suo intrinseco aspetto r</w:t>
      </w:r>
      <w:r w:rsidR="00C132AC">
        <w:rPr>
          <w:rFonts w:ascii="Avenir Next" w:hAnsi="Avenir Next" w:cstheme="majorHAnsi"/>
          <w:color w:val="000000" w:themeColor="text1"/>
          <w:sz w:val="18"/>
        </w:rPr>
        <w:t>e</w:t>
      </w:r>
      <w:r>
        <w:rPr>
          <w:rFonts w:ascii="Avenir Next" w:hAnsi="Avenir Next" w:cstheme="majorHAnsi"/>
          <w:color w:val="000000" w:themeColor="text1"/>
          <w:sz w:val="18"/>
        </w:rPr>
        <w:t>tr</w:t>
      </w:r>
      <w:r w:rsidR="00C132AC">
        <w:rPr>
          <w:rFonts w:ascii="Avenir Next" w:hAnsi="Avenir Next" w:cstheme="majorHAnsi"/>
          <w:color w:val="000000" w:themeColor="text1"/>
          <w:sz w:val="18"/>
        </w:rPr>
        <w:t>ò</w:t>
      </w:r>
      <w:bookmarkStart w:id="0" w:name="_GoBack"/>
      <w:bookmarkEnd w:id="0"/>
      <w:r>
        <w:rPr>
          <w:rFonts w:ascii="Avenir Next" w:hAnsi="Avenir Next" w:cstheme="majorHAnsi"/>
          <w:color w:val="000000" w:themeColor="text1"/>
          <w:sz w:val="18"/>
        </w:rPr>
        <w:t xml:space="preserve">,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A384 Revival è corredato da un cinturino in alligatore nero con fodera in caucciù nero, che completa il look vintage dell'A384 con una resistenza contemporanea. È disponibile anche un bracciale in metallo integrato tipo 'ladder' che riprende l'estetica di uno dei bracciali d</w:t>
      </w:r>
      <w:r w:rsidR="001935B5">
        <w:rPr>
          <w:rFonts w:ascii="Avenir Next" w:hAnsi="Avenir Next" w:cstheme="majorHAnsi"/>
          <w:color w:val="000000" w:themeColor="text1"/>
          <w:sz w:val="18"/>
        </w:rPr>
        <w:t xml:space="preserve">i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A384 originale del 1969.</w:t>
      </w:r>
    </w:p>
    <w:p w14:paraId="3ECEF379" w14:textId="6FDAFE30" w:rsidR="001303B8" w:rsidRPr="00654EED" w:rsidRDefault="0056122D" w:rsidP="00C77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color w:val="000000" w:themeColor="text1"/>
          <w:sz w:val="18"/>
        </w:rPr>
        <w:t>Dopo il ricercatissimo cofanetto El Primero presentato a gennaio e la serie A386 Revival in tre leghe d'oro annunciata in occasione di Baselworld, per celebrare il 50° anniversario d</w:t>
      </w:r>
      <w:r w:rsidR="001935B5">
        <w:rPr>
          <w:rFonts w:ascii="Avenir Next" w:hAnsi="Avenir Next" w:cstheme="majorHAnsi"/>
          <w:color w:val="000000" w:themeColor="text1"/>
          <w:sz w:val="18"/>
        </w:rPr>
        <w:t xml:space="preserve">i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verrà prodotto anche un A384 Revival in edizione speciale che costituirà il tassello conclusivo della serie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Revival</w:t>
      </w:r>
      <w:r w:rsidR="001935B5">
        <w:rPr>
          <w:rFonts w:ascii="Avenir Next" w:hAnsi="Avenir Next" w:cstheme="majorHAnsi"/>
          <w:color w:val="000000" w:themeColor="text1"/>
          <w:sz w:val="18"/>
        </w:rPr>
        <w:t>,</w:t>
      </w:r>
      <w:r>
        <w:rPr>
          <w:rFonts w:ascii="Avenir Next" w:hAnsi="Avenir Next" w:cstheme="majorHAnsi"/>
          <w:color w:val="000000" w:themeColor="text1"/>
          <w:sz w:val="18"/>
        </w:rPr>
        <w:t xml:space="preserve"> che rende omaggio agli orologi Zenith che hanno utilizzato per primi questo glorioso calibro. A differenza dell'A386, </w:t>
      </w:r>
      <w:proofErr w:type="gramStart"/>
      <w:r>
        <w:rPr>
          <w:rFonts w:ascii="Avenir Next" w:hAnsi="Avenir Next" w:cstheme="majorHAnsi"/>
          <w:color w:val="000000" w:themeColor="text1"/>
          <w:sz w:val="18"/>
        </w:rPr>
        <w:t>l' A</w:t>
      </w:r>
      <w:proofErr w:type="gramEnd"/>
      <w:r>
        <w:rPr>
          <w:rFonts w:ascii="Avenir Next" w:hAnsi="Avenir Next" w:cstheme="majorHAnsi"/>
          <w:color w:val="000000" w:themeColor="text1"/>
          <w:sz w:val="18"/>
        </w:rPr>
        <w:t>384 Revival non viene prodotto in edizione limitata, diventando così un pezzo esclusivo ma raggiungibile della storia d</w:t>
      </w:r>
      <w:r w:rsidR="001935B5">
        <w:rPr>
          <w:rFonts w:ascii="Avenir Next" w:hAnsi="Avenir Next" w:cstheme="majorHAnsi"/>
          <w:color w:val="000000" w:themeColor="text1"/>
          <w:sz w:val="18"/>
        </w:rPr>
        <w:t xml:space="preserve">i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>
        <w:rPr>
          <w:rFonts w:ascii="Avenir Next" w:hAnsi="Avenir Next" w:cstheme="majorHAnsi"/>
          <w:color w:val="000000" w:themeColor="text1"/>
          <w:sz w:val="18"/>
        </w:rPr>
        <w:t>.</w:t>
      </w:r>
    </w:p>
    <w:p w14:paraId="283D25CD" w14:textId="77777777" w:rsidR="007C22D7" w:rsidRPr="00380225" w:rsidRDefault="007C22D7" w:rsidP="007C22D7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cstheme="majorHAnsi"/>
          <w:b/>
          <w:color w:val="000000" w:themeColor="text1"/>
          <w:sz w:val="18"/>
        </w:rPr>
        <w:t>ZENITH: il futuro dell'orologeria svizzera</w:t>
      </w:r>
    </w:p>
    <w:p w14:paraId="4C457ECF" w14:textId="1EAA2D1D" w:rsidR="009A5D43" w:rsidRDefault="007C22D7" w:rsidP="00C7722F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Guidata come sempre dall'innovazione, Zenith si distingue per gli eccezionali movimenti sviluppati e realizzati internamente che alimentano tutti i suoi orologi, come il DEFY Inventor con il suo precisissimo oscillatore monolitico e il DEFY El Primero 21 con il suo cronografo a</w:t>
      </w:r>
      <w:r w:rsidR="001935B5">
        <w:rPr>
          <w:rFonts w:ascii="Avenir Next" w:hAnsi="Avenir Next"/>
          <w:sz w:val="18"/>
        </w:rPr>
        <w:t>l</w:t>
      </w:r>
      <w:r>
        <w:rPr>
          <w:rFonts w:ascii="Avenir Next" w:hAnsi="Avenir Next"/>
          <w:sz w:val="18"/>
        </w:rPr>
        <w:t xml:space="preserve"> 1/100 di secondo. Dalla sua creazione nel 1865, Zenith ha costantemente ridefinito i concetti di precisione e innovazione come dimostrano ad esempio il primo orologio "Pilot" agli albori dell'aviazione e il calibro cronografo automatico “El Primero” prodotto in serie. Sempre un passo avanti, Zenith scrive un nuovo capitolo della sua storia straordinaria definendo nuovi standard di prestazioni e design. Zenith è pronta a</w:t>
      </w:r>
      <w:r w:rsidR="001935B5">
        <w:rPr>
          <w:rFonts w:ascii="Avenir Next" w:hAnsi="Avenir Next"/>
          <w:sz w:val="18"/>
        </w:rPr>
        <w:t xml:space="preserve"> dare forma</w:t>
      </w:r>
      <w:r>
        <w:rPr>
          <w:rFonts w:ascii="Avenir Next" w:hAnsi="Avenir Next"/>
          <w:sz w:val="18"/>
        </w:rPr>
        <w:t xml:space="preserve"> </w:t>
      </w:r>
      <w:r w:rsidR="001935B5">
        <w:rPr>
          <w:rFonts w:ascii="Avenir Next" w:hAnsi="Avenir Next"/>
          <w:sz w:val="18"/>
        </w:rPr>
        <w:t>a</w:t>
      </w:r>
      <w:r>
        <w:rPr>
          <w:rFonts w:ascii="Avenir Next" w:hAnsi="Avenir Next"/>
          <w:sz w:val="18"/>
        </w:rPr>
        <w:t xml:space="preserve">l futuro dell'orologeria svizzera, </w:t>
      </w:r>
      <w:r w:rsidR="001935B5">
        <w:rPr>
          <w:rFonts w:ascii="Avenir Next" w:hAnsi="Avenir Next"/>
          <w:sz w:val="18"/>
        </w:rPr>
        <w:t>sostenendo</w:t>
      </w:r>
      <w:r>
        <w:rPr>
          <w:rFonts w:ascii="Avenir Next" w:hAnsi="Avenir Next"/>
          <w:sz w:val="18"/>
        </w:rPr>
        <w:t xml:space="preserve"> tutti coloro che osano sfidare il tempo e mirare alle stelle.</w:t>
      </w:r>
    </w:p>
    <w:p w14:paraId="14427028" w14:textId="77777777" w:rsidR="009A5D43" w:rsidRPr="009A5D43" w:rsidRDefault="009A5D43" w:rsidP="00C7722F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2"/>
          <w:szCs w:val="18"/>
        </w:rPr>
      </w:pPr>
    </w:p>
    <w:p w14:paraId="726F6960" w14:textId="77777777" w:rsidR="001935B5" w:rsidRDefault="001935B5" w:rsidP="00C7722F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</w:rPr>
      </w:pPr>
    </w:p>
    <w:p w14:paraId="73EA2D7F" w14:textId="77777777" w:rsidR="001935B5" w:rsidRDefault="001935B5" w:rsidP="00C7722F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</w:rPr>
      </w:pPr>
    </w:p>
    <w:p w14:paraId="4EAD6B05" w14:textId="73B330CF" w:rsidR="001935B5" w:rsidRDefault="001935B5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</w:p>
    <w:p w14:paraId="3C646C69" w14:textId="77777777" w:rsidR="001935B5" w:rsidRDefault="001935B5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</w:p>
    <w:p w14:paraId="15388F58" w14:textId="4B3BC2CF" w:rsidR="005E6F66" w:rsidRPr="00FA378A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43539D" wp14:editId="1AEBB6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6880" cy="2339340"/>
            <wp:effectExtent l="0" t="0" r="0" b="0"/>
            <wp:wrapTight wrapText="bothSides">
              <wp:wrapPolygon edited="0">
                <wp:start x="9402" y="1231"/>
                <wp:lineTo x="8196" y="1583"/>
                <wp:lineTo x="6268" y="3342"/>
                <wp:lineTo x="6268" y="4397"/>
                <wp:lineTo x="4821" y="8795"/>
                <wp:lineTo x="4580" y="10026"/>
                <wp:lineTo x="5545" y="12840"/>
                <wp:lineTo x="5545" y="13544"/>
                <wp:lineTo x="6750" y="15655"/>
                <wp:lineTo x="7714" y="20580"/>
                <wp:lineTo x="13741" y="20580"/>
                <wp:lineTo x="14705" y="15655"/>
                <wp:lineTo x="16875" y="12840"/>
                <wp:lineTo x="18080" y="10906"/>
                <wp:lineTo x="17598" y="7739"/>
                <wp:lineTo x="17357" y="7212"/>
                <wp:lineTo x="15188" y="4397"/>
                <wp:lineTo x="15429" y="3518"/>
                <wp:lineTo x="13259" y="1583"/>
                <wp:lineTo x="12054" y="1231"/>
                <wp:lineTo x="9402" y="1231"/>
              </wp:wrapPolygon>
            </wp:wrapTight>
            <wp:docPr id="1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C81454F-0D20-4646-B836-D0FE551EBC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>
                      <a:extLst>
                        <a:ext uri="{FF2B5EF4-FFF2-40B4-BE49-F238E27FC236}">
                          <a16:creationId xmlns:a16="http://schemas.microsoft.com/office/drawing/2014/main" id="{4C81454F-0D20-4646-B836-D0FE551EBC0D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4"/>
                    <a:stretch/>
                  </pic:blipFill>
                  <pic:spPr>
                    <a:xfrm>
                      <a:off x="0" y="0"/>
                      <a:ext cx="170688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 w:hAnsi="Avenir Next" w:cs="Antonio-Regular"/>
          <w:b/>
        </w:rPr>
        <w:t>EL PRIMERO A384 REVIVAL</w:t>
      </w:r>
    </w:p>
    <w:p w14:paraId="66412FF2" w14:textId="5FBBBE24" w:rsidR="005E6F66" w:rsidRP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20"/>
          <w:szCs w:val="18"/>
        </w:rPr>
      </w:pPr>
      <w:r>
        <w:rPr>
          <w:rFonts w:ascii="Avenir Next" w:hAnsi="Avenir Next" w:cs="Antonio-Regular"/>
          <w:sz w:val="20"/>
        </w:rPr>
        <w:t>EDIZIONE SPECIALE 50° ANNIVERSARIO</w:t>
      </w:r>
    </w:p>
    <w:p w14:paraId="6DD95790" w14:textId="77777777" w:rsidR="005E6F66" w:rsidRPr="00FA378A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46012ACB" w14:textId="77777777" w:rsidR="005E6F66" w:rsidRPr="00364B4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 w:cs="Antonio-Regular"/>
          <w:sz w:val="18"/>
        </w:rPr>
        <w:t xml:space="preserve">Referenza: </w:t>
      </w:r>
      <w:r>
        <w:rPr>
          <w:rFonts w:ascii="Avenir Next" w:hAnsi="Avenir Next" w:cs="Antonio-Regular"/>
          <w:sz w:val="18"/>
        </w:rPr>
        <w:tab/>
      </w:r>
      <w:r>
        <w:rPr>
          <w:rFonts w:ascii="Avenir Next" w:hAnsi="Avenir Next" w:cs="Arial"/>
          <w:sz w:val="18"/>
        </w:rPr>
        <w:t>03.A384.400/21.C815</w:t>
      </w:r>
    </w:p>
    <w:p w14:paraId="32553538" w14:textId="77777777" w:rsidR="005E6F66" w:rsidRPr="00AA46C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Revival originale della Referenza A384 del 1969:</w:t>
      </w:r>
    </w:p>
    <w:p w14:paraId="09E76B1B" w14:textId="77777777" w:rsidR="005E6F66" w:rsidRPr="00AA46C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Cassa Original 1969 del diametro di 37 mm</w:t>
      </w:r>
    </w:p>
    <w:p w14:paraId="62D74114" w14:textId="6FD4A145" w:rsidR="005E6F66" w:rsidRPr="001935B5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Cronografo automatico El Primero con ruota a colonne</w:t>
      </w:r>
    </w:p>
    <w:p w14:paraId="76E8792C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 w:cs="Antonio-Regular"/>
          <w:b/>
          <w:sz w:val="18"/>
        </w:rPr>
        <w:t xml:space="preserve">MOVIMENTO </w:t>
      </w:r>
    </w:p>
    <w:p w14:paraId="4F7D962D" w14:textId="77777777" w:rsidR="005E6F66" w:rsidRPr="00364B43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Movimento: El Primero 400 automatico</w:t>
      </w:r>
    </w:p>
    <w:p w14:paraId="1FF72CAB" w14:textId="77777777" w:rsidR="005E6F66" w:rsidRPr="00AA46C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Calibro: 13¼‘‘‘ (diametro: 30 mm)</w:t>
      </w:r>
    </w:p>
    <w:p w14:paraId="68795A4F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Spessore del movimento: 6,6 mm</w:t>
      </w:r>
    </w:p>
    <w:p w14:paraId="128A7FC3" w14:textId="77777777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Componenti: 278</w:t>
      </w:r>
    </w:p>
    <w:p w14:paraId="6654275E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Rubini: 31</w:t>
      </w:r>
    </w:p>
    <w:p w14:paraId="45771E96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Frequenza: 36.000 alt/ora (5 Hz)</w:t>
      </w:r>
    </w:p>
    <w:p w14:paraId="05DD2761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Riserva di carica: min. 50 ore</w:t>
      </w:r>
    </w:p>
    <w:p w14:paraId="776C7445" w14:textId="579AFC79" w:rsidR="005E6F66" w:rsidRPr="001935B5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Finiture: massa oscillante con motivo “</w:t>
      </w:r>
      <w:proofErr w:type="spellStart"/>
      <w:r>
        <w:rPr>
          <w:rFonts w:ascii="Avenir Next" w:hAnsi="Avenir Next" w:cs="OpenSans-CondensedLight"/>
          <w:sz w:val="18"/>
        </w:rPr>
        <w:t>Côtes</w:t>
      </w:r>
      <w:proofErr w:type="spellEnd"/>
      <w:r>
        <w:rPr>
          <w:rFonts w:ascii="Avenir Next" w:hAnsi="Avenir Next" w:cs="OpenSans-CondensedLight"/>
          <w:sz w:val="18"/>
        </w:rPr>
        <w:t xml:space="preserve"> de </w:t>
      </w:r>
      <w:proofErr w:type="spellStart"/>
      <w:r>
        <w:rPr>
          <w:rFonts w:ascii="Avenir Next" w:hAnsi="Avenir Next" w:cs="OpenSans-CondensedLight"/>
          <w:sz w:val="18"/>
        </w:rPr>
        <w:t>Genève</w:t>
      </w:r>
      <w:proofErr w:type="spellEnd"/>
      <w:r>
        <w:rPr>
          <w:rFonts w:ascii="Avenir Next" w:hAnsi="Avenir Next" w:cs="OpenSans-CondensedLight"/>
          <w:sz w:val="18"/>
        </w:rPr>
        <w:t>”</w:t>
      </w:r>
    </w:p>
    <w:p w14:paraId="16B583F7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 w:cs="Antonio-Regular"/>
          <w:b/>
          <w:sz w:val="18"/>
        </w:rPr>
        <w:t xml:space="preserve">FUNZIONI </w:t>
      </w:r>
    </w:p>
    <w:p w14:paraId="4C9448D0" w14:textId="77777777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Ore e minuti al centro</w:t>
      </w:r>
    </w:p>
    <w:p w14:paraId="6FBA223C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Piccoli secondi a ore 9</w:t>
      </w:r>
    </w:p>
    <w:p w14:paraId="52C04D5C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Cronografo:</w:t>
      </w:r>
    </w:p>
    <w:p w14:paraId="36649C1D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- Lancetta del cronografo al centro</w:t>
      </w:r>
    </w:p>
    <w:p w14:paraId="4CC5C845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- Contatore delle 12 ore a ore 6</w:t>
      </w:r>
    </w:p>
    <w:p w14:paraId="5AA0E0B2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- Contatore dei 30 minuti a ore 3</w:t>
      </w:r>
    </w:p>
    <w:p w14:paraId="68D90080" w14:textId="77777777" w:rsidR="005E6F66" w:rsidRPr="002D3949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Scala tachimetrica</w:t>
      </w:r>
    </w:p>
    <w:p w14:paraId="20816325" w14:textId="4ADE922F" w:rsidR="00B847FC" w:rsidRPr="00864DF2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Data a ore 4:30</w:t>
      </w:r>
    </w:p>
    <w:p w14:paraId="42FF4D38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 xml:space="preserve">CASSA, QUADRANTE E LANCETTE </w:t>
      </w:r>
    </w:p>
    <w:p w14:paraId="57423A7B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Diametro: 37 mm</w:t>
      </w:r>
    </w:p>
    <w:p w14:paraId="22CA520F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Apertura diametro: 32,3 mm</w:t>
      </w:r>
    </w:p>
    <w:p w14:paraId="46BAC6F7" w14:textId="77777777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Spessore: 12,60 mm</w:t>
      </w:r>
    </w:p>
    <w:p w14:paraId="108F7494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Vetro: vetro zaffiro bombato con trattamento antiriflesso sui due lati</w:t>
      </w:r>
    </w:p>
    <w:p w14:paraId="1F3287CF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Fondello: vetro zaffiro trasparente</w:t>
      </w:r>
    </w:p>
    <w:p w14:paraId="006B3FFF" w14:textId="0F96111B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Materiale: Acciaio inossidabile</w:t>
      </w:r>
    </w:p>
    <w:p w14:paraId="2455FDB4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Impermeabilità: 10 ATM</w:t>
      </w:r>
    </w:p>
    <w:p w14:paraId="591BD8D7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Quadrante: quadrante laccato bianco con tre contatori neri</w:t>
      </w:r>
    </w:p>
    <w:p w14:paraId="09DD4628" w14:textId="77777777" w:rsidR="00B847FC" w:rsidRDefault="005E6F66" w:rsidP="005E6F66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Indici delle ore: rodiati, sfaccettati e rivestiti di Super-LumiNova® SLN C3</w:t>
      </w:r>
    </w:p>
    <w:p w14:paraId="0A9C494F" w14:textId="32B452F0" w:rsidR="005E6F66" w:rsidRPr="001935B5" w:rsidRDefault="005E6F66" w:rsidP="001935B5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Lancette: rodiati, sfaccettati e rivestiti di Super-</w:t>
      </w:r>
      <w:proofErr w:type="spellStart"/>
      <w:r>
        <w:rPr>
          <w:rFonts w:ascii="Avenir Next" w:hAnsi="Avenir Next" w:cs="OpenSans-CondensedLight"/>
          <w:sz w:val="18"/>
        </w:rPr>
        <w:t>LumiNova</w:t>
      </w:r>
      <w:proofErr w:type="spellEnd"/>
      <w:r>
        <w:rPr>
          <w:rFonts w:ascii="Avenir Next" w:hAnsi="Avenir Next" w:cs="OpenSans-CondensedLight"/>
          <w:sz w:val="18"/>
        </w:rPr>
        <w:t>® SLN C3</w:t>
      </w:r>
    </w:p>
    <w:p w14:paraId="28B50F67" w14:textId="77777777" w:rsidR="005E6F66" w:rsidRPr="00864DF2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 w:cs="OpenSans-CondensedLight"/>
          <w:b/>
          <w:sz w:val="18"/>
        </w:rPr>
        <w:t xml:space="preserve">CINTURINI E FIBBIE </w:t>
      </w:r>
    </w:p>
    <w:p w14:paraId="451CA2A2" w14:textId="0D7A104C" w:rsidR="005E6F66" w:rsidRPr="00685E2B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cs="OpenSans-CondensedLight"/>
          <w:sz w:val="18"/>
        </w:rPr>
        <w:t>Cinturino: abbinato a un cinturino in alligatore nero o a un bracciale tipo 'ladder'</w:t>
      </w:r>
    </w:p>
    <w:p w14:paraId="74E1CB13" w14:textId="3FE8F989" w:rsidR="005E6F66" w:rsidRDefault="005E6F66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</w:rPr>
      </w:pPr>
      <w:r>
        <w:rPr>
          <w:rFonts w:ascii="Avenir Next" w:hAnsi="Avenir Next" w:cs="OpenSans-CondensedLight"/>
          <w:sz w:val="18"/>
        </w:rPr>
        <w:t>Fibbia: fibbia ad ardiglione in acciaio inossidabile</w:t>
      </w:r>
    </w:p>
    <w:p w14:paraId="67B9CE4A" w14:textId="5E2BDEB3" w:rsidR="001935B5" w:rsidRDefault="001935B5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50F58624" w14:textId="77777777" w:rsidR="001935B5" w:rsidRPr="00F420BA" w:rsidRDefault="001935B5" w:rsidP="001935B5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</w:rPr>
      </w:pPr>
      <w:r>
        <w:rPr>
          <w:rFonts w:ascii="Avenir Next" w:hAnsi="Avenir Next" w:cstheme="majorHAnsi"/>
          <w:color w:val="auto"/>
          <w:sz w:val="18"/>
        </w:rPr>
        <w:t>Per le immagini, accedere al link seguente</w:t>
      </w:r>
    </w:p>
    <w:p w14:paraId="7627E618" w14:textId="77777777" w:rsidR="001935B5" w:rsidRPr="00F420BA" w:rsidRDefault="00E955D7" w:rsidP="001935B5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9" w:history="1">
        <w:r w:rsidR="001935B5">
          <w:rPr>
            <w:rStyle w:val="Collegamentoipertestuale"/>
            <w:rFonts w:ascii="Avenir Next" w:hAnsi="Avenir Next" w:cstheme="majorHAnsi"/>
            <w:b/>
            <w:color w:val="0070C0"/>
            <w:sz w:val="20"/>
            <w:u w:val="none"/>
          </w:rPr>
          <w:t>http://pressroom.zenith-watches.com/login/?redirect_to=%2F&amp;reauth=1</w:t>
        </w:r>
      </w:hyperlink>
    </w:p>
    <w:p w14:paraId="540B4F7E" w14:textId="77777777" w:rsidR="001935B5" w:rsidRPr="005E6F66" w:rsidRDefault="001935B5" w:rsidP="005E6F66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sectPr w:rsidR="001935B5" w:rsidRPr="005E6F66" w:rsidSect="002D7FAD">
      <w:headerReference w:type="default" r:id="rId10"/>
      <w:foot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2B1B" w14:textId="77777777" w:rsidR="00E955D7" w:rsidRDefault="00E955D7" w:rsidP="009D5829">
      <w:r>
        <w:separator/>
      </w:r>
    </w:p>
  </w:endnote>
  <w:endnote w:type="continuationSeparator" w:id="0">
    <w:p w14:paraId="7032AE4F" w14:textId="77777777" w:rsidR="00E955D7" w:rsidRDefault="00E955D7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oni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716A8C" w:rsidRPr="009A5D43" w:rsidRDefault="00716A8C" w:rsidP="009D5829">
    <w:pPr>
      <w:pStyle w:val="Pidipagina"/>
      <w:jc w:val="center"/>
      <w:rPr>
        <w:rFonts w:ascii="Avenir Next" w:hAnsi="Avenir Next"/>
        <w:sz w:val="18"/>
        <w:szCs w:val="18"/>
        <w:lang w:val="fr-CH"/>
      </w:rPr>
    </w:pPr>
    <w:r w:rsidRPr="009A5D43">
      <w:rPr>
        <w:rFonts w:ascii="Avenir Next" w:hAnsi="Avenir Next"/>
        <w:b/>
        <w:sz w:val="18"/>
        <w:lang w:val="fr-CH"/>
      </w:rPr>
      <w:t>ZENITH</w:t>
    </w:r>
    <w:r w:rsidRPr="009A5D43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0BD01271" w14:textId="77777777" w:rsidR="00716A8C" w:rsidRPr="00166C18" w:rsidRDefault="00716A8C" w:rsidP="009D5829">
    <w:pPr>
      <w:pStyle w:val="Pidipagina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International Media Relations: Minh-Tan Bui – E-mail: </w:t>
    </w:r>
    <w:hyperlink r:id="rId1" w:history="1">
      <w:r>
        <w:rPr>
          <w:rStyle w:val="Collegamentoipertestuale"/>
          <w:rFonts w:ascii="Avenir Next" w:hAnsi="Avenir Nex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7A43" w14:textId="77777777" w:rsidR="00E955D7" w:rsidRDefault="00E955D7" w:rsidP="009D5829">
      <w:r>
        <w:separator/>
      </w:r>
    </w:p>
  </w:footnote>
  <w:footnote w:type="continuationSeparator" w:id="0">
    <w:p w14:paraId="6A57F3FE" w14:textId="77777777" w:rsidR="00E955D7" w:rsidRDefault="00E955D7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31F03EC2" w:rsidR="00716A8C" w:rsidRDefault="00716A8C" w:rsidP="00A91380">
    <w:pPr>
      <w:pStyle w:val="Intestazione"/>
      <w:spacing w:after="360"/>
      <w:jc w:val="center"/>
    </w:pPr>
    <w:r>
      <w:rPr>
        <w:noProof/>
      </w:rPr>
      <w:drawing>
        <wp:inline distT="0" distB="0" distL="0" distR="0" wp14:anchorId="6A4EC714" wp14:editId="64C36153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EFB"/>
    <w:multiLevelType w:val="multilevel"/>
    <w:tmpl w:val="8C5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0FDA"/>
    <w:rsid w:val="00034CAF"/>
    <w:rsid w:val="000359E0"/>
    <w:rsid w:val="00036DBF"/>
    <w:rsid w:val="00037A0A"/>
    <w:rsid w:val="000401CC"/>
    <w:rsid w:val="0004074D"/>
    <w:rsid w:val="000418E4"/>
    <w:rsid w:val="0004344C"/>
    <w:rsid w:val="00044CF9"/>
    <w:rsid w:val="00045226"/>
    <w:rsid w:val="00046CAA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311C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586"/>
    <w:rsid w:val="00127A37"/>
    <w:rsid w:val="001303B8"/>
    <w:rsid w:val="001326CE"/>
    <w:rsid w:val="00133A74"/>
    <w:rsid w:val="001361D5"/>
    <w:rsid w:val="00136816"/>
    <w:rsid w:val="00140693"/>
    <w:rsid w:val="0014291C"/>
    <w:rsid w:val="00150ADF"/>
    <w:rsid w:val="00153662"/>
    <w:rsid w:val="00154E28"/>
    <w:rsid w:val="0015755A"/>
    <w:rsid w:val="001627C2"/>
    <w:rsid w:val="00163138"/>
    <w:rsid w:val="00166C18"/>
    <w:rsid w:val="00170B97"/>
    <w:rsid w:val="00171DBA"/>
    <w:rsid w:val="001728FF"/>
    <w:rsid w:val="0017433F"/>
    <w:rsid w:val="00175732"/>
    <w:rsid w:val="001802A6"/>
    <w:rsid w:val="00180F1F"/>
    <w:rsid w:val="001810B3"/>
    <w:rsid w:val="001814E3"/>
    <w:rsid w:val="00186FBD"/>
    <w:rsid w:val="00190869"/>
    <w:rsid w:val="001909AE"/>
    <w:rsid w:val="00190E01"/>
    <w:rsid w:val="00191493"/>
    <w:rsid w:val="00192537"/>
    <w:rsid w:val="001935B5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063F9"/>
    <w:rsid w:val="002114CE"/>
    <w:rsid w:val="002126E8"/>
    <w:rsid w:val="002140CF"/>
    <w:rsid w:val="00214364"/>
    <w:rsid w:val="0021527E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60CF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0A61"/>
    <w:rsid w:val="002C1DA3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2F7D17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4886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55C5"/>
    <w:rsid w:val="0041750F"/>
    <w:rsid w:val="00423E0C"/>
    <w:rsid w:val="00426593"/>
    <w:rsid w:val="0042760F"/>
    <w:rsid w:val="00431D9B"/>
    <w:rsid w:val="0043253A"/>
    <w:rsid w:val="00433102"/>
    <w:rsid w:val="004334D2"/>
    <w:rsid w:val="0043375B"/>
    <w:rsid w:val="00433C6D"/>
    <w:rsid w:val="00434399"/>
    <w:rsid w:val="00437A3F"/>
    <w:rsid w:val="00442B0B"/>
    <w:rsid w:val="004462A3"/>
    <w:rsid w:val="004502FD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16F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0EE2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0A57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22D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325C"/>
    <w:rsid w:val="005D59A1"/>
    <w:rsid w:val="005D5BD7"/>
    <w:rsid w:val="005E16CB"/>
    <w:rsid w:val="005E1BA0"/>
    <w:rsid w:val="005E6F66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EED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B4E76"/>
    <w:rsid w:val="006C0670"/>
    <w:rsid w:val="006C201E"/>
    <w:rsid w:val="006C3FE9"/>
    <w:rsid w:val="006D03BE"/>
    <w:rsid w:val="006D2B22"/>
    <w:rsid w:val="006D2BB0"/>
    <w:rsid w:val="006E0A29"/>
    <w:rsid w:val="006E2B16"/>
    <w:rsid w:val="006E2C4B"/>
    <w:rsid w:val="006E2DC6"/>
    <w:rsid w:val="006E3B53"/>
    <w:rsid w:val="006E5830"/>
    <w:rsid w:val="006E6888"/>
    <w:rsid w:val="006F42E3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16A8C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22D7"/>
    <w:rsid w:val="007C36F2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6549"/>
    <w:rsid w:val="008275F5"/>
    <w:rsid w:val="008309A4"/>
    <w:rsid w:val="00830A46"/>
    <w:rsid w:val="00831770"/>
    <w:rsid w:val="00831D3E"/>
    <w:rsid w:val="00833DCC"/>
    <w:rsid w:val="008358B5"/>
    <w:rsid w:val="00840C90"/>
    <w:rsid w:val="00845D50"/>
    <w:rsid w:val="008471AF"/>
    <w:rsid w:val="0085230D"/>
    <w:rsid w:val="00861E9F"/>
    <w:rsid w:val="00862E79"/>
    <w:rsid w:val="00864C97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48E"/>
    <w:rsid w:val="00893959"/>
    <w:rsid w:val="00897275"/>
    <w:rsid w:val="0089763D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27C61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2798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528C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A5D43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4580"/>
    <w:rsid w:val="009E5506"/>
    <w:rsid w:val="009F068A"/>
    <w:rsid w:val="009F2347"/>
    <w:rsid w:val="009F2490"/>
    <w:rsid w:val="009F6850"/>
    <w:rsid w:val="009F74CF"/>
    <w:rsid w:val="00A000C0"/>
    <w:rsid w:val="00A01F1F"/>
    <w:rsid w:val="00A02C88"/>
    <w:rsid w:val="00A04021"/>
    <w:rsid w:val="00A07584"/>
    <w:rsid w:val="00A10127"/>
    <w:rsid w:val="00A10A50"/>
    <w:rsid w:val="00A10B70"/>
    <w:rsid w:val="00A116DC"/>
    <w:rsid w:val="00A15E4F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549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34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7FC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A3C4A"/>
    <w:rsid w:val="00BB04D6"/>
    <w:rsid w:val="00BB06C7"/>
    <w:rsid w:val="00BB07E3"/>
    <w:rsid w:val="00BB1B86"/>
    <w:rsid w:val="00BB31BB"/>
    <w:rsid w:val="00BB3291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1D7A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2FD7"/>
    <w:rsid w:val="00C040B9"/>
    <w:rsid w:val="00C0486D"/>
    <w:rsid w:val="00C04A26"/>
    <w:rsid w:val="00C07DD2"/>
    <w:rsid w:val="00C132AC"/>
    <w:rsid w:val="00C13732"/>
    <w:rsid w:val="00C2095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22F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A51CA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180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53AD"/>
    <w:rsid w:val="00CE6207"/>
    <w:rsid w:val="00CF0A48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0D2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858EF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4B2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3B56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2D95"/>
    <w:rsid w:val="00E83A03"/>
    <w:rsid w:val="00E83F0E"/>
    <w:rsid w:val="00E8706E"/>
    <w:rsid w:val="00E87084"/>
    <w:rsid w:val="00E923E3"/>
    <w:rsid w:val="00E92F5D"/>
    <w:rsid w:val="00E93853"/>
    <w:rsid w:val="00E955D7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0BA"/>
    <w:rsid w:val="00F4227E"/>
    <w:rsid w:val="00F442D9"/>
    <w:rsid w:val="00F52845"/>
    <w:rsid w:val="00F528E5"/>
    <w:rsid w:val="00F54162"/>
    <w:rsid w:val="00F55E0D"/>
    <w:rsid w:val="00F64C44"/>
    <w:rsid w:val="00F66C3F"/>
    <w:rsid w:val="00F7017C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3D4B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20B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77555"/>
  <w15:docId w15:val="{9BADD24F-5B43-4BEF-AC6A-4E8C739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29"/>
  </w:style>
  <w:style w:type="paragraph" w:styleId="Pidipagina">
    <w:name w:val="footer"/>
    <w:basedOn w:val="Normale"/>
    <w:link w:val="PidipaginaCarattere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29"/>
  </w:style>
  <w:style w:type="character" w:styleId="Collegamentoipertestuale">
    <w:name w:val="Hyperlink"/>
    <w:rsid w:val="009D5829"/>
    <w:rPr>
      <w:u w:val="single"/>
    </w:rPr>
  </w:style>
  <w:style w:type="paragraph" w:styleId="Paragrafoelenco">
    <w:name w:val="List Paragraph"/>
    <w:basedOn w:val="Normale"/>
    <w:uiPriority w:val="34"/>
    <w:qFormat/>
    <w:rsid w:val="009D582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5718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045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5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5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it-IT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customStyle="1" w:styleId="Titre1">
    <w:name w:val="Titre1"/>
    <w:basedOn w:val="Carpredefinitoparagrafo"/>
    <w:rsid w:val="00945BA6"/>
  </w:style>
  <w:style w:type="character" w:customStyle="1" w:styleId="Titre2">
    <w:name w:val="Titre2"/>
    <w:basedOn w:val="Carpredefinitoparagrafo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ssroom.zenith-watches.com/login/?redirect_to=%2F&amp;reauth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74955E7-00A4-0041-9577-A139704ABA9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Valentina Castellani</cp:lastModifiedBy>
  <cp:revision>16</cp:revision>
  <dcterms:created xsi:type="dcterms:W3CDTF">2019-05-20T07:09:00Z</dcterms:created>
  <dcterms:modified xsi:type="dcterms:W3CDTF">2019-06-07T16:30:00Z</dcterms:modified>
</cp:coreProperties>
</file>