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8" w:rsidRPr="00FB7DA5" w:rsidRDefault="007F7268" w:rsidP="007F7268">
      <w:pPr>
        <w:spacing w:line="276" w:lineRule="auto"/>
        <w:jc w:val="center"/>
        <w:rPr>
          <w:rFonts w:ascii="Avenir Next" w:hAnsi="Avenir Next"/>
          <w:b/>
        </w:rPr>
      </w:pPr>
      <w:r>
        <w:rPr>
          <w:rFonts w:ascii="Avenir Next" w:hAnsi="Avenir Next"/>
          <w:b/>
        </w:rPr>
        <w:t>Queridas, contem com a Zenith nesse verão</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 xml:space="preserve">Motivada por um eterno desejo de inovação e pela criação de ícones atemporais, a Zenith tem traçado seu destino desde sua fundação há mais de 150 anos. </w:t>
      </w:r>
      <w:r>
        <w:rPr>
          <w:rFonts w:ascii="Avenir Next" w:eastAsia="Times New Roman" w:hAnsi="Avenir Next" w:cs="Times New Roman"/>
          <w:b/>
          <w:sz w:val="18"/>
          <w:shd w:val="clear" w:color="auto" w:fill="FFFFFF"/>
        </w:rPr>
        <w:t xml:space="preserve">Com uma mistura única entre as estéticas do passado, presente e futuro, cada uma de suas coleções carrega um espírito diferente. Historicamente, a atenção dos fabricantes de relógios foi direcionada para os homens, mas a Zenith está aqui para provar que </w:t>
      </w:r>
      <w:r>
        <w:rPr>
          <w:rFonts w:ascii="Avenir Next" w:hAnsi="Avenir Next"/>
          <w:b/>
          <w:sz w:val="18"/>
        </w:rPr>
        <w:t>designs icônicos parecem tão bons, se não melhores, nos pulsos de mulheres confiantes, ousadas e cheias de estilo.</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Branco esportivo</w:t>
      </w:r>
    </w:p>
    <w:p w:rsidR="007F7268" w:rsidRPr="00FB7DA5" w:rsidRDefault="007F7268" w:rsidP="007F7268">
      <w:pPr>
        <w:spacing w:line="276" w:lineRule="auto"/>
        <w:jc w:val="both"/>
        <w:rPr>
          <w:rFonts w:ascii="Avenir Next" w:hAnsi="Avenir Next"/>
          <w:sz w:val="18"/>
        </w:rPr>
      </w:pPr>
      <w:r>
        <w:rPr>
          <w:rFonts w:ascii="Avenir Next" w:hAnsi="Avenir Next"/>
          <w:sz w:val="18"/>
        </w:rPr>
        <w:t>Geralmente, o branco é sinônimo de delicadeza, mas esse não é o caso do DEFY Classic. O brilho de sua caixa em cerâmica branca apresenta uma durabilidade impressionante e seu tom de branco intenso está integrado ao material e nunca irá se apagar ou manchar com o tempo ou o uso. Com linhas geométricas marcantes e um sobre</w:t>
      </w:r>
      <w:r w:rsidR="004865C0">
        <w:rPr>
          <w:rFonts w:ascii="Avenir Next" w:hAnsi="Avenir Next"/>
          <w:sz w:val="18"/>
        </w:rPr>
        <w:t>tom futurístico em seu mostrador</w:t>
      </w:r>
      <w:r>
        <w:rPr>
          <w:rFonts w:ascii="Avenir Next" w:hAnsi="Avenir Next"/>
          <w:sz w:val="18"/>
        </w:rPr>
        <w:t xml:space="preserve"> aberto e em camadas, o DEFY Classic White Ceramic passa do esportivo ao chique sem titubear. Tomando um banho de sol em um refúgio de verão ou passeando em uma metrópole moderna, o DEFY Classic White Ceramic é uma peça para ser exibida em qualquer estação.</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sz w:val="18"/>
        </w:rPr>
      </w:pPr>
      <w:r>
        <w:rPr>
          <w:rFonts w:ascii="Avenir Next" w:hAnsi="Avenir Next"/>
          <w:b/>
          <w:sz w:val="18"/>
        </w:rPr>
        <w:t>A mulher urbana</w:t>
      </w:r>
    </w:p>
    <w:p w:rsidR="007F7268" w:rsidRPr="00FB7DA5" w:rsidRDefault="007F7268" w:rsidP="007F7268">
      <w:pPr>
        <w:spacing w:line="276" w:lineRule="auto"/>
        <w:jc w:val="both"/>
        <w:rPr>
          <w:rFonts w:ascii="Avenir Next" w:hAnsi="Avenir Next"/>
          <w:sz w:val="18"/>
        </w:rPr>
      </w:pPr>
      <w:r>
        <w:rPr>
          <w:rFonts w:ascii="Avenir Next" w:hAnsi="Avenir Next"/>
          <w:sz w:val="18"/>
        </w:rPr>
        <w:t xml:space="preserve">Para mulheres de espírito livre com um forte sentido de ousadia e de estilo aventureiro, o Type 20 Pilot é a companhia perfeita. Um ícone da relojoaria, o emblemático relógio da Zenith dedicado ao tema de aviação continua tão atraente quanto o relógio que o inspirou um século atrás. Reimaginado em uma caixa de 40 mm de bronze fácil de usar com seu mostrador preto acetinado escovado, seus números grandes oferecem um toque de atrevimento que, combinado com o charme do Velho Mundo, representam o espírito vanguardista da Zenith. O apelo atemporal e robusto, mas com a silhueta elegante do Pilot, faz com que ele seja um relógio inacreditavelmente versátil, perfeitamente adequado para qualquer aventura - seja para o trabalho, para a academia ou para a balada. </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sz w:val="18"/>
        </w:rPr>
      </w:pPr>
      <w:r>
        <w:rPr>
          <w:rFonts w:ascii="Avenir Next" w:hAnsi="Avenir Next"/>
          <w:b/>
          <w:sz w:val="18"/>
        </w:rPr>
        <w:t>Elegantemente retrô</w:t>
      </w:r>
    </w:p>
    <w:p w:rsidR="007F7268" w:rsidRPr="00FB7DA5" w:rsidRDefault="007F7268" w:rsidP="007F7268">
      <w:pPr>
        <w:spacing w:line="276" w:lineRule="auto"/>
        <w:jc w:val="both"/>
        <w:rPr>
          <w:rFonts w:ascii="Avenir Next" w:hAnsi="Avenir Next"/>
          <w:b/>
          <w:sz w:val="18"/>
        </w:rPr>
      </w:pPr>
      <w:r>
        <w:rPr>
          <w:rFonts w:ascii="Avenir Next" w:hAnsi="Avenir Next"/>
          <w:sz w:val="18"/>
        </w:rPr>
        <w:t xml:space="preserve">Alguns ícones são verdadeiramente eternos. Inovador quando foi desvendado e ainda notável nos dias de hoje, o A386 El Primero Revival faz um tributo ao icônico cronógrafo da Zenith, ao reproduzir fielmente o clássico da década de 1960 em seus mínimos detalhes. Tanto para uma noite em um vestido de gala como para uma ocasião casual num estilo confortável, a duradoura combinação da caixa em ouro rosé precioso em elegantes proporções atemporais com os ponteiros multicoloridos e distintamente retrôs do mostrador do El Primero A386 Revival faz dele uma peça incontornável. </w:t>
      </w:r>
    </w:p>
    <w:p w:rsidR="007F7268" w:rsidRPr="00FB7DA5" w:rsidRDefault="007F7268" w:rsidP="007F7268">
      <w:pPr>
        <w:jc w:val="both"/>
        <w:rPr>
          <w:rFonts w:ascii="Avenir Next" w:hAnsi="Avenir Next"/>
          <w:sz w:val="18"/>
        </w:rPr>
      </w:pPr>
    </w:p>
    <w:p w:rsidR="007F7268" w:rsidRPr="00FB7DA5" w:rsidRDefault="007F7268" w:rsidP="007F7268">
      <w:pPr>
        <w:tabs>
          <w:tab w:val="left" w:pos="8564"/>
        </w:tabs>
        <w:spacing w:line="276" w:lineRule="auto"/>
        <w:jc w:val="both"/>
        <w:rPr>
          <w:rFonts w:ascii="Avenir Next" w:hAnsi="Avenir Next" w:cstheme="majorHAnsi"/>
          <w:b/>
          <w:sz w:val="18"/>
          <w:szCs w:val="18"/>
        </w:rPr>
      </w:pPr>
      <w:r>
        <w:rPr>
          <w:rFonts w:ascii="Avenir Next" w:hAnsi="Avenir Next" w:cstheme="majorHAnsi"/>
          <w:b/>
          <w:sz w:val="18"/>
        </w:rPr>
        <w:t>ZENITH: O futuro da relojoaria suíça</w:t>
      </w:r>
    </w:p>
    <w:p w:rsidR="00F221B0" w:rsidRPr="00B618D6" w:rsidRDefault="007F7268" w:rsidP="00716A9A">
      <w:pPr>
        <w:tabs>
          <w:tab w:val="left" w:pos="8564"/>
        </w:tabs>
        <w:spacing w:line="276" w:lineRule="auto"/>
        <w:jc w:val="both"/>
        <w:rPr>
          <w:rFonts w:ascii="Avenir Next" w:hAnsi="Avenir Next"/>
          <w:sz w:val="16"/>
        </w:rPr>
      </w:pPr>
      <w:r>
        <w:rPr>
          <w:rFonts w:ascii="Avenir Next" w:hAnsi="Avenir Next"/>
          <w:sz w:val="18"/>
        </w:rPr>
        <w:t xml:space="preserve">Tendo a inovação como seu lema, a Zenith apresenta movimentos excepcionais que são desenvolvidos e </w:t>
      </w:r>
      <w:r w:rsidR="004865C0">
        <w:rPr>
          <w:rFonts w:ascii="Avenir Next" w:hAnsi="Avenir Next"/>
          <w:sz w:val="18"/>
        </w:rPr>
        <w:t>manufaturados</w:t>
      </w:r>
      <w:r>
        <w:rPr>
          <w:rFonts w:ascii="Avenir Next" w:hAnsi="Avenir Next"/>
          <w:sz w:val="18"/>
        </w:rPr>
        <w:t xml:space="preserve"> internamente para todos os seus relógios como, por exemplo, o DEFY Inventor com seu oscilador monolítico de precisão excepcional ou o DEFY El Primero 21 com seu cronógrafo de centésimo de segundo de alta frequência. Desde a sua criação em 1865, a Zenith redefiniu consistentemente as noções de precisão e inovação, incluindo o primeiro “Pilot Watch” nos primórdios da aviação e o primeiro calibre de cronógrafo automático “El Primero” produzido em série. Sempre um passo à frente, a Zenith está escrevendo um novo capítulo em seu legado único, estabelecendo novos padrões para desempenho e designs inspirados. A Zenith está aqui para moldar </w:t>
      </w:r>
      <w:r w:rsidRPr="00B618D6">
        <w:rPr>
          <w:rFonts w:ascii="Avenir Next" w:hAnsi="Avenir Next"/>
          <w:sz w:val="18"/>
        </w:rPr>
        <w:t>o futuro da relojoaria suíça, lado a lado com aqueles que ousam desafiar o próprio tempo e ir além.</w:t>
      </w:r>
    </w:p>
    <w:p w:rsidR="002E5806" w:rsidRPr="00AE6183" w:rsidRDefault="002E5806" w:rsidP="002E5806">
      <w:pPr>
        <w:spacing w:after="120" w:line="276" w:lineRule="auto"/>
        <w:rPr>
          <w:rFonts w:ascii="DINOT-Light" w:hAnsi="DINOT-Light" w:cs="Arial"/>
          <w:b/>
          <w:szCs w:val="20"/>
        </w:rPr>
      </w:pPr>
      <w:r w:rsidRPr="002E5806">
        <w:rPr>
          <w:rFonts w:ascii="DINOT-Light" w:hAnsi="DINOT-Light" w:cs="Arial"/>
          <w:b/>
          <w:noProof/>
        </w:rPr>
        <w:lastRenderedPageBreak/>
        <w:drawing>
          <wp:anchor distT="0" distB="0" distL="114300" distR="114300" simplePos="0" relativeHeight="251660288" behindDoc="1" locked="0" layoutInCell="1" allowOverlap="1">
            <wp:simplePos x="0" y="0"/>
            <wp:positionH relativeFrom="column">
              <wp:posOffset>2842260</wp:posOffset>
            </wp:positionH>
            <wp:positionV relativeFrom="paragraph">
              <wp:posOffset>0</wp:posOffset>
            </wp:positionV>
            <wp:extent cx="2522220" cy="3596640"/>
            <wp:effectExtent l="0" t="0" r="0" b="0"/>
            <wp:wrapTight wrapText="bothSides">
              <wp:wrapPolygon edited="0">
                <wp:start x="8157" y="2517"/>
                <wp:lineTo x="7668" y="2860"/>
                <wp:lineTo x="6852" y="4004"/>
                <wp:lineTo x="6852" y="4576"/>
                <wp:lineTo x="6036" y="6407"/>
                <wp:lineTo x="4894" y="8237"/>
                <wp:lineTo x="4242" y="10068"/>
                <wp:lineTo x="4405" y="11898"/>
                <wp:lineTo x="6526" y="15559"/>
                <wp:lineTo x="7505" y="19220"/>
                <wp:lineTo x="7505" y="20479"/>
                <wp:lineTo x="7668" y="20708"/>
                <wp:lineTo x="14030" y="20708"/>
                <wp:lineTo x="14193" y="19220"/>
                <wp:lineTo x="15172" y="15559"/>
                <wp:lineTo x="18598" y="10525"/>
                <wp:lineTo x="18435" y="10068"/>
                <wp:lineTo x="16804" y="8237"/>
                <wp:lineTo x="15662" y="6407"/>
                <wp:lineTo x="14846" y="4576"/>
                <wp:lineTo x="15009" y="4119"/>
                <wp:lineTo x="14030" y="2860"/>
                <wp:lineTo x="13541" y="2517"/>
                <wp:lineTo x="8157" y="2517"/>
              </wp:wrapPolygon>
            </wp:wrapTight>
            <wp:docPr id="1" name="Picture 1" descr="\\WJEZEN-SCHLOE\Departement_MarCom_Dossiers\_Communication 2019\PR\SIHH - GENEVA DAYS\PRESS RELEASES\DEFY\DEFY CLASSIC CERAMIC\images new\49.9002.670.01.R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SIHH - GENEVA DAYS\PRESS RELEASES\DEFY\DEFY CLASSIC CERAMIC\images new\49.9002.670.01.R79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DINOT-Light" w:hAnsi="DINOT-Light" w:cs="Arial"/>
          <w:b/>
        </w:rPr>
        <w:t>DEFY CLASSIC WHITE CERAMIC</w:t>
      </w:r>
    </w:p>
    <w:p w:rsidR="002E5806" w:rsidRPr="00AE6183" w:rsidRDefault="002E5806" w:rsidP="002E5806">
      <w:pPr>
        <w:spacing w:line="276" w:lineRule="auto"/>
        <w:rPr>
          <w:rFonts w:ascii="DINOT-Light" w:hAnsi="DINOT-Light" w:cs="Arial"/>
          <w:sz w:val="18"/>
          <w:szCs w:val="20"/>
        </w:rPr>
      </w:pPr>
      <w:r>
        <w:rPr>
          <w:rFonts w:ascii="DINOT-Light" w:hAnsi="DINOT-Light" w:cs="Arial"/>
          <w:sz w:val="18"/>
        </w:rPr>
        <w:t>DETALHES TÉCNICOS</w:t>
      </w:r>
    </w:p>
    <w:p w:rsidR="002E5806" w:rsidRPr="00AE6183" w:rsidRDefault="002E5806" w:rsidP="002E5806">
      <w:pPr>
        <w:spacing w:line="276" w:lineRule="auto"/>
        <w:rPr>
          <w:rFonts w:ascii="DINOT-Light" w:hAnsi="DINOT-Light" w:cs="Arial"/>
          <w:sz w:val="18"/>
          <w:szCs w:val="20"/>
        </w:rPr>
      </w:pP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Referência: 49.9002.670/01.R792</w:t>
      </w:r>
    </w:p>
    <w:p w:rsidR="002E5806" w:rsidRPr="00AE6183" w:rsidRDefault="002E5806" w:rsidP="002E5806">
      <w:pPr>
        <w:spacing w:after="40" w:line="276" w:lineRule="auto"/>
        <w:rPr>
          <w:rFonts w:ascii="DINOT-Light" w:hAnsi="DINOT-Light" w:cs="Arial"/>
          <w:b/>
          <w:sz w:val="18"/>
          <w:szCs w:val="20"/>
        </w:rPr>
      </w:pPr>
    </w:p>
    <w:p w:rsidR="002E5806" w:rsidRPr="00AE6183" w:rsidRDefault="002E5806" w:rsidP="002E5806">
      <w:pPr>
        <w:spacing w:after="40" w:line="276" w:lineRule="auto"/>
        <w:rPr>
          <w:rFonts w:ascii="DINOT-Light" w:hAnsi="DINOT-Light" w:cs="Arial"/>
          <w:b/>
          <w:sz w:val="18"/>
          <w:szCs w:val="20"/>
        </w:rPr>
      </w:pPr>
      <w:r>
        <w:rPr>
          <w:rFonts w:ascii="DINOT-Light" w:hAnsi="DINOT-Light" w:cs="Arial"/>
          <w:b/>
          <w:sz w:val="18"/>
        </w:rPr>
        <w:t xml:space="preserve">PRINCIPAIS PONTOS </w:t>
      </w:r>
    </w:p>
    <w:p w:rsidR="002E5806" w:rsidRDefault="002E5806" w:rsidP="002E5806">
      <w:pPr>
        <w:spacing w:after="40" w:line="276" w:lineRule="auto"/>
        <w:rPr>
          <w:rFonts w:ascii="DINOT-Light" w:hAnsi="DINOT-Light" w:cs="Arial"/>
          <w:sz w:val="18"/>
          <w:szCs w:val="20"/>
        </w:rPr>
      </w:pPr>
      <w:r>
        <w:rPr>
          <w:rFonts w:ascii="DINOT-Light" w:hAnsi="DINOT-Light" w:cs="Arial"/>
          <w:sz w:val="18"/>
        </w:rPr>
        <w:t>NOVA caixa de cerâmica branca de 41 mm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 xml:space="preserve">Movimento interno esqueletizado Elite </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 xml:space="preserve">Alavanca e roda de escape em silício </w:t>
      </w:r>
    </w:p>
    <w:p w:rsidR="002E5806" w:rsidRPr="00AE6183" w:rsidRDefault="002E5806" w:rsidP="002E5806">
      <w:pPr>
        <w:spacing w:after="40" w:line="276" w:lineRule="auto"/>
        <w:rPr>
          <w:rFonts w:ascii="DINOT-Light" w:hAnsi="DINOT-Light" w:cs="Arial"/>
          <w:sz w:val="18"/>
          <w:szCs w:val="20"/>
        </w:rPr>
      </w:pPr>
    </w:p>
    <w:p w:rsidR="002E5806" w:rsidRPr="00AE6183" w:rsidRDefault="002E5806" w:rsidP="002E5806">
      <w:pPr>
        <w:spacing w:after="40" w:line="276" w:lineRule="auto"/>
        <w:rPr>
          <w:rFonts w:ascii="DINOT-Light" w:hAnsi="DINOT-Light" w:cs="Arial"/>
          <w:b/>
          <w:sz w:val="18"/>
          <w:szCs w:val="20"/>
        </w:rPr>
      </w:pPr>
      <w:r>
        <w:rPr>
          <w:rFonts w:ascii="DINOT-Light" w:hAnsi="DINOT-Light" w:cs="Arial"/>
          <w:b/>
          <w:sz w:val="18"/>
        </w:rPr>
        <w:t>MOVIMENTO</w:t>
      </w:r>
    </w:p>
    <w:p w:rsidR="002E5806" w:rsidRPr="00AE1D33" w:rsidRDefault="002E5806" w:rsidP="002E5806">
      <w:pPr>
        <w:spacing w:after="40" w:line="276" w:lineRule="auto"/>
        <w:rPr>
          <w:rFonts w:ascii="DINOT-Light" w:hAnsi="DINOT-Light" w:cs="Arial"/>
          <w:sz w:val="18"/>
          <w:szCs w:val="20"/>
        </w:rPr>
      </w:pPr>
      <w:r>
        <w:rPr>
          <w:rFonts w:ascii="DINOT-Light" w:hAnsi="DINOT-Light" w:cs="Arial"/>
          <w:sz w:val="18"/>
        </w:rPr>
        <w:t>Elite 670 SK, automático</w:t>
      </w:r>
    </w:p>
    <w:p w:rsidR="002E5806" w:rsidRPr="00AE1D33" w:rsidRDefault="002E5806" w:rsidP="002E5806">
      <w:pPr>
        <w:spacing w:after="40" w:line="276" w:lineRule="auto"/>
        <w:rPr>
          <w:rFonts w:ascii="DINOT-Light" w:hAnsi="DINOT-Light" w:cs="Arial"/>
          <w:sz w:val="18"/>
          <w:szCs w:val="20"/>
        </w:rPr>
      </w:pPr>
      <w:r>
        <w:rPr>
          <w:rFonts w:ascii="DINOT-Light" w:hAnsi="DINOT-Light" w:cs="Arial"/>
          <w:noProof/>
          <w:sz w:val="18"/>
        </w:rPr>
        <w:t>Calibre: 11 ½" (diâmetro: 25,60 mm)</w:t>
      </w:r>
      <w:r>
        <w:rPr>
          <w:rFonts w:ascii="DINOT-Light" w:hAnsi="DINOT-Light"/>
          <w:noProof/>
        </w:rPr>
        <w:t xml:space="preserve"> </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Espessura do movimento: 3,88 mm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Componentes: 187</w:t>
      </w:r>
    </w:p>
    <w:p w:rsidR="002E5806" w:rsidRDefault="002E5806" w:rsidP="002E5806">
      <w:pPr>
        <w:spacing w:after="40" w:line="276" w:lineRule="auto"/>
        <w:rPr>
          <w:rFonts w:ascii="DINOT-Light" w:hAnsi="DINOT-Light" w:cs="Arial"/>
          <w:sz w:val="18"/>
        </w:rPr>
      </w:pPr>
      <w:r>
        <w:rPr>
          <w:rFonts w:ascii="DINOT-Light" w:hAnsi="DINOT-Light" w:cs="Arial"/>
          <w:sz w:val="18"/>
        </w:rPr>
        <w:t>Joias: 27</w:t>
      </w:r>
    </w:p>
    <w:p w:rsidR="002E5806" w:rsidRPr="000D5F3A" w:rsidRDefault="002E5806" w:rsidP="002E5806">
      <w:pPr>
        <w:spacing w:after="40" w:line="276" w:lineRule="auto"/>
        <w:rPr>
          <w:rFonts w:ascii="DINOT-Light" w:hAnsi="DINOT-Light" w:cs="Arial"/>
          <w:sz w:val="18"/>
        </w:rPr>
      </w:pPr>
      <w:r w:rsidRPr="00F70EE9">
        <w:rPr>
          <w:rFonts w:ascii="DINOT-Light" w:hAnsi="DINOT-Light" w:cs="Arial"/>
          <w:sz w:val="18"/>
        </w:rPr>
        <w:t>Frequência: 28.800 VpH (4Hz)</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Reserva de marcha: mín. 48 horas</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Acabamento: massa oscilante especial com acabamento acetinado escovado</w:t>
      </w:r>
    </w:p>
    <w:p w:rsidR="002E5806" w:rsidRPr="00AE6183" w:rsidRDefault="002E5806" w:rsidP="002E5806">
      <w:pPr>
        <w:spacing w:after="40" w:line="276" w:lineRule="auto"/>
        <w:rPr>
          <w:rFonts w:ascii="DINOT-Light" w:hAnsi="DINOT-Light" w:cs="Arial"/>
          <w:sz w:val="18"/>
          <w:szCs w:val="20"/>
        </w:rPr>
      </w:pPr>
    </w:p>
    <w:p w:rsidR="002E5806" w:rsidRPr="00AE6183" w:rsidRDefault="002E5806" w:rsidP="002E5806">
      <w:pPr>
        <w:spacing w:after="40" w:line="276" w:lineRule="auto"/>
        <w:rPr>
          <w:rFonts w:ascii="DINOT-Light" w:hAnsi="DINOT-Light" w:cs="Arial"/>
          <w:b/>
          <w:sz w:val="18"/>
          <w:szCs w:val="20"/>
        </w:rPr>
      </w:pPr>
      <w:r>
        <w:rPr>
          <w:rFonts w:ascii="DINOT-Light" w:hAnsi="DINOT-Light" w:cs="Arial"/>
          <w:b/>
          <w:sz w:val="18"/>
        </w:rPr>
        <w:t>FUNÇÕES</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Horas e minutos ao centro</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 xml:space="preserve">Ponteiro central de segundos </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Indicador de data na posição de 6 horas</w:t>
      </w:r>
    </w:p>
    <w:p w:rsidR="002E5806" w:rsidRPr="00AE6183" w:rsidRDefault="002E5806" w:rsidP="002E5806">
      <w:pPr>
        <w:spacing w:after="40" w:line="276" w:lineRule="auto"/>
        <w:rPr>
          <w:rFonts w:ascii="DINOT-Light" w:hAnsi="DINOT-Light" w:cs="Arial"/>
          <w:sz w:val="18"/>
          <w:szCs w:val="20"/>
        </w:rPr>
      </w:pPr>
    </w:p>
    <w:p w:rsidR="002E5806" w:rsidRPr="00AE6183" w:rsidRDefault="002E5806" w:rsidP="002E5806">
      <w:pPr>
        <w:spacing w:after="40" w:line="276" w:lineRule="auto"/>
        <w:rPr>
          <w:rFonts w:ascii="DINOT-Light" w:hAnsi="DINOT-Light" w:cs="Arial"/>
          <w:b/>
          <w:sz w:val="18"/>
          <w:szCs w:val="20"/>
        </w:rPr>
      </w:pPr>
      <w:r>
        <w:rPr>
          <w:rFonts w:ascii="DINOT-Light" w:hAnsi="DINOT-Light" w:cs="Arial"/>
          <w:b/>
          <w:sz w:val="18"/>
        </w:rPr>
        <w:t>CAIXA, MOSTRADOR E PONTEIROS</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Diâmetro: 41 mm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Diâmetro da abertura: 32,5 mm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Espessura: 10,75 mm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Vidro: vidro de safira convexo com tratamento antirreflexo em ambos os lados</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Fundo da caixa: vidro de safira transparente</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Material: cerâmica branca</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Estanqueidade: 10 ATM</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 xml:space="preserve">Mostrador: aberto, prateado </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Índices das horas: banhados a ródio, facetados e revestidos com Super-LumiNova® SLN C1</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Ponteiros: banhados a ródio, facetados e revestidos com Super-LumiNova® SLN C1</w:t>
      </w:r>
    </w:p>
    <w:p w:rsidR="002E5806" w:rsidRPr="00AE6183" w:rsidRDefault="002E5806" w:rsidP="002E5806">
      <w:pPr>
        <w:spacing w:after="40" w:line="276" w:lineRule="auto"/>
        <w:rPr>
          <w:rFonts w:ascii="DINOT-Light" w:hAnsi="DINOT-Light" w:cs="Arial"/>
          <w:sz w:val="18"/>
          <w:szCs w:val="20"/>
        </w:rPr>
      </w:pPr>
    </w:p>
    <w:p w:rsidR="002E5806" w:rsidRPr="00AE6183" w:rsidRDefault="002E5806" w:rsidP="002E5806">
      <w:pPr>
        <w:spacing w:after="40" w:line="276" w:lineRule="auto"/>
        <w:rPr>
          <w:rFonts w:ascii="DINOT-Light" w:hAnsi="DINOT-Light" w:cs="Arial"/>
          <w:b/>
          <w:sz w:val="18"/>
          <w:szCs w:val="20"/>
        </w:rPr>
      </w:pPr>
      <w:r>
        <w:rPr>
          <w:rFonts w:ascii="DINOT-Light" w:hAnsi="DINOT-Light" w:cs="Arial"/>
          <w:b/>
          <w:sz w:val="18"/>
        </w:rPr>
        <w:t>PULSEIRA E FECHO</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Borracha branca Qualidade HNBR</w:t>
      </w:r>
    </w:p>
    <w:p w:rsidR="002E5806" w:rsidRPr="00AE6183" w:rsidRDefault="002E5806" w:rsidP="002E5806">
      <w:pPr>
        <w:spacing w:after="40" w:line="276" w:lineRule="auto"/>
        <w:rPr>
          <w:rFonts w:ascii="DINOT-Light" w:hAnsi="DINOT-Light" w:cs="Arial"/>
          <w:sz w:val="18"/>
          <w:szCs w:val="20"/>
        </w:rPr>
      </w:pPr>
      <w:r>
        <w:rPr>
          <w:rFonts w:ascii="DINOT-Light" w:hAnsi="DINOT-Light" w:cs="Arial"/>
          <w:sz w:val="18"/>
        </w:rPr>
        <w:t>Fecho de dobra dupla em titânio</w:t>
      </w:r>
    </w:p>
    <w:p w:rsidR="002E5806" w:rsidRDefault="002E5806" w:rsidP="00B618D6">
      <w:pPr>
        <w:pStyle w:val="A"/>
        <w:tabs>
          <w:tab w:val="left" w:pos="8564"/>
        </w:tabs>
        <w:spacing w:line="276" w:lineRule="auto"/>
        <w:ind w:right="-8"/>
        <w:jc w:val="both"/>
        <w:rPr>
          <w:rFonts w:ascii="Avenir Next" w:hAnsi="Avenir Next" w:cstheme="majorHAnsi"/>
          <w:b/>
          <w:color w:val="auto"/>
        </w:rPr>
      </w:pPr>
    </w:p>
    <w:p w:rsidR="002E5806" w:rsidRDefault="002E5806" w:rsidP="00B618D6">
      <w:pPr>
        <w:pStyle w:val="A"/>
        <w:tabs>
          <w:tab w:val="left" w:pos="8564"/>
        </w:tabs>
        <w:spacing w:line="276" w:lineRule="auto"/>
        <w:ind w:right="-8"/>
        <w:jc w:val="both"/>
        <w:rPr>
          <w:rFonts w:ascii="Avenir Next" w:hAnsi="Avenir Next" w:cstheme="majorHAnsi"/>
          <w:b/>
          <w:color w:val="auto"/>
        </w:rPr>
      </w:pPr>
    </w:p>
    <w:p w:rsidR="00B618D6" w:rsidRPr="00B618D6" w:rsidRDefault="00B618D6" w:rsidP="00B618D6">
      <w:pPr>
        <w:pStyle w:val="A"/>
        <w:tabs>
          <w:tab w:val="left" w:pos="8564"/>
        </w:tabs>
        <w:spacing w:line="276" w:lineRule="auto"/>
        <w:ind w:right="-8"/>
        <w:jc w:val="both"/>
        <w:rPr>
          <w:rFonts w:ascii="Avenir Next" w:hAnsi="Avenir Next" w:cstheme="majorHAnsi"/>
          <w:b/>
          <w:color w:val="auto"/>
        </w:rPr>
      </w:pPr>
      <w:r w:rsidRPr="00B618D6">
        <w:rPr>
          <w:rFonts w:ascii="Avenir Next" w:hAnsi="Avenir Next" w:cstheme="majorHAnsi"/>
          <w:b/>
          <w:noProof/>
          <w:color w:val="auto"/>
          <w:lang w:val="en-GB" w:eastAsia="ja-JP"/>
        </w:rPr>
        <w:lastRenderedPageBreak/>
        <w:drawing>
          <wp:anchor distT="0" distB="0" distL="114300" distR="114300" simplePos="0" relativeHeight="251659264" behindDoc="1" locked="0" layoutInCell="1" allowOverlap="1" wp14:anchorId="2CDDF329" wp14:editId="59C624C4">
            <wp:simplePos x="0" y="0"/>
            <wp:positionH relativeFrom="margin">
              <wp:align>right</wp:align>
            </wp:positionH>
            <wp:positionV relativeFrom="paragraph">
              <wp:posOffset>6278</wp:posOffset>
            </wp:positionV>
            <wp:extent cx="2123245" cy="3032567"/>
            <wp:effectExtent l="0" t="0" r="0" b="0"/>
            <wp:wrapNone/>
            <wp:docPr id="6" name="Image 6" descr="O:\Communication 2018\PR\BASELWORLD\PRODUCTS\PILOT\PILOT Type 20 Extra Special 40 mm bronze\IMAGES\LD\29.1940.679.21.C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 2018\PR\BASELWORLD\PRODUCTS\PILOT\PILOT Type 20 Extra Special 40 mm bronze\IMAGES\LD\29.1940.679.21.C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245" cy="30325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8D6">
        <w:rPr>
          <w:rFonts w:ascii="Avenir Next" w:hAnsi="Avenir Next" w:cstheme="majorHAnsi"/>
          <w:b/>
          <w:color w:val="auto"/>
        </w:rPr>
        <w:t>PILOT TYPE 20 EXTRA SPECIAL</w:t>
      </w:r>
    </w:p>
    <w:p w:rsidR="00B618D6" w:rsidRPr="00B618D6" w:rsidRDefault="00B618D6" w:rsidP="00B618D6">
      <w:pPr>
        <w:pStyle w:val="A"/>
        <w:tabs>
          <w:tab w:val="left" w:pos="8564"/>
        </w:tabs>
        <w:spacing w:after="120" w:line="276" w:lineRule="auto"/>
        <w:ind w:right="-6"/>
        <w:jc w:val="both"/>
        <w:rPr>
          <w:rFonts w:ascii="Avenir Next" w:hAnsi="Avenir Next" w:cstheme="majorHAnsi"/>
          <w:b/>
          <w:color w:val="auto"/>
          <w:szCs w:val="24"/>
        </w:rPr>
      </w:pPr>
      <w:r w:rsidRPr="00B618D6">
        <w:rPr>
          <w:rFonts w:ascii="Avenir Next" w:hAnsi="Avenir Next" w:cstheme="majorHAnsi"/>
          <w:b/>
          <w:color w:val="auto"/>
        </w:rPr>
        <w:t>40 MM BRONZE</w:t>
      </w:r>
    </w:p>
    <w:p w:rsidR="00B618D6" w:rsidRPr="00B618D6" w:rsidRDefault="00B618D6" w:rsidP="00B618D6">
      <w:pPr>
        <w:pStyle w:val="A"/>
        <w:tabs>
          <w:tab w:val="left" w:pos="8564"/>
        </w:tabs>
        <w:spacing w:line="276" w:lineRule="auto"/>
        <w:ind w:right="-8"/>
        <w:jc w:val="both"/>
        <w:rPr>
          <w:rFonts w:ascii="Avenir Next" w:hAnsi="Avenir Next" w:cstheme="majorHAnsi"/>
          <w:b/>
          <w:color w:val="auto"/>
          <w:sz w:val="18"/>
          <w:szCs w:val="20"/>
        </w:rPr>
      </w:pPr>
      <w:r w:rsidRPr="00B618D6">
        <w:rPr>
          <w:rFonts w:ascii="Avenir Next" w:hAnsi="Avenir Next" w:cstheme="majorHAnsi"/>
          <w:b/>
          <w:color w:val="auto"/>
          <w:sz w:val="18"/>
        </w:rPr>
        <w:t>DETALHES TÉCNICOS</w:t>
      </w: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p>
    <w:p w:rsidR="00B618D6" w:rsidRPr="00B618D6" w:rsidRDefault="00B618D6" w:rsidP="00B618D6">
      <w:pPr>
        <w:spacing w:line="276" w:lineRule="auto"/>
        <w:jc w:val="both"/>
        <w:rPr>
          <w:rFonts w:ascii="Avenir Next" w:hAnsi="Avenir Next" w:cstheme="majorHAnsi"/>
          <w:sz w:val="18"/>
          <w:szCs w:val="20"/>
        </w:rPr>
      </w:pPr>
      <w:r w:rsidRPr="00B618D6">
        <w:rPr>
          <w:rFonts w:ascii="Avenir Next" w:hAnsi="Avenir Next" w:cstheme="majorHAnsi"/>
          <w:sz w:val="18"/>
        </w:rPr>
        <w:t>Referência: 29.1940.679/21.C800</w:t>
      </w:r>
    </w:p>
    <w:p w:rsidR="00B618D6" w:rsidRPr="00B618D6" w:rsidRDefault="00B618D6" w:rsidP="00B618D6">
      <w:pPr>
        <w:spacing w:line="276" w:lineRule="auto"/>
        <w:jc w:val="both"/>
        <w:rPr>
          <w:rFonts w:ascii="Avenir Next" w:hAnsi="Avenir Next" w:cstheme="majorHAnsi"/>
          <w:sz w:val="18"/>
          <w:szCs w:val="20"/>
        </w:rPr>
      </w:pP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r w:rsidRPr="00B618D6">
        <w:rPr>
          <w:rFonts w:ascii="Avenir Next" w:hAnsi="Avenir Next" w:cstheme="majorHAnsi"/>
          <w:b/>
          <w:color w:val="auto"/>
          <w:sz w:val="18"/>
        </w:rPr>
        <w:t>PRINCIPAIS PONTOS</w:t>
      </w:r>
      <w:r w:rsidRPr="00B618D6">
        <w:rPr>
          <w:rFonts w:ascii="Avenir Next" w:hAnsi="Avenir Next" w:cstheme="majorHAnsi"/>
          <w:color w:val="auto"/>
          <w:sz w:val="18"/>
        </w:rPr>
        <w:t xml:space="preserve"> </w:t>
      </w: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r w:rsidRPr="00B618D6">
        <w:rPr>
          <w:rFonts w:ascii="Avenir Next" w:hAnsi="Avenir Next" w:cstheme="majorHAnsi"/>
          <w:color w:val="auto"/>
          <w:sz w:val="18"/>
        </w:rPr>
        <w:t xml:space="preserve">Nova caixa em bronze </w:t>
      </w: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r w:rsidRPr="00B618D6">
        <w:rPr>
          <w:rFonts w:ascii="Avenir Next" w:hAnsi="Avenir Next" w:cstheme="majorHAnsi"/>
          <w:color w:val="auto"/>
          <w:sz w:val="18"/>
        </w:rPr>
        <w:t xml:space="preserve">Inspirado pelos lendários relógios de aviação Zenith </w:t>
      </w: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r w:rsidRPr="00B618D6">
        <w:rPr>
          <w:rFonts w:ascii="Avenir Next" w:hAnsi="Avenir Next" w:cstheme="majorHAnsi"/>
          <w:color w:val="auto"/>
          <w:sz w:val="18"/>
        </w:rPr>
        <w:t>Numerais arábicos inteiramente feitos de Super-LumiNova</w:t>
      </w:r>
      <w:r w:rsidRPr="00B618D6">
        <w:rPr>
          <w:rFonts w:ascii="Avenir Next" w:hAnsi="Avenir Next" w:cstheme="majorHAnsi"/>
          <w:color w:val="auto"/>
          <w:sz w:val="18"/>
          <w:vertAlign w:val="superscript"/>
        </w:rPr>
        <w:t>®</w:t>
      </w:r>
    </w:p>
    <w:p w:rsidR="00B618D6" w:rsidRPr="00B618D6" w:rsidRDefault="00B618D6" w:rsidP="00B618D6">
      <w:pPr>
        <w:pStyle w:val="A"/>
        <w:tabs>
          <w:tab w:val="left" w:pos="8564"/>
        </w:tabs>
        <w:spacing w:line="276" w:lineRule="auto"/>
        <w:ind w:right="-8"/>
        <w:jc w:val="both"/>
        <w:rPr>
          <w:rFonts w:ascii="Avenir Next" w:hAnsi="Avenir Next" w:cstheme="majorHAnsi"/>
          <w:color w:val="auto"/>
          <w:sz w:val="18"/>
          <w:szCs w:val="20"/>
        </w:rPr>
      </w:pPr>
    </w:p>
    <w:p w:rsidR="00B618D6" w:rsidRPr="00B618D6" w:rsidRDefault="00B618D6" w:rsidP="00B618D6">
      <w:pPr>
        <w:spacing w:line="276" w:lineRule="auto"/>
        <w:rPr>
          <w:rFonts w:ascii="Avenir Next" w:hAnsi="Avenir Next" w:cstheme="majorHAnsi"/>
          <w:b/>
          <w:sz w:val="18"/>
          <w:szCs w:val="20"/>
        </w:rPr>
      </w:pPr>
      <w:r w:rsidRPr="00B618D6">
        <w:rPr>
          <w:rFonts w:ascii="Avenir Next" w:hAnsi="Avenir Next" w:cstheme="majorHAnsi"/>
          <w:b/>
          <w:sz w:val="18"/>
        </w:rPr>
        <w:t>MOVIMENTO</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 xml:space="preserve">Elite 679, automático </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Calibre: 11 ½"(Diâmetro: 25,60mm)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Espessura do movimento: 3,85mm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Componentes: 126</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Joias: 27</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Frequência: 28.800 VpH (4Hz)</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Reserva de marcha: mín. 50 horas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 xml:space="preserve">Acabamento: Massa oscilante com o motivo “Côtes de Genève” </w:t>
      </w:r>
    </w:p>
    <w:p w:rsidR="00B618D6" w:rsidRPr="00B618D6" w:rsidRDefault="00B618D6" w:rsidP="00B618D6">
      <w:pPr>
        <w:spacing w:line="276" w:lineRule="auto"/>
        <w:rPr>
          <w:rFonts w:ascii="Avenir Next" w:hAnsi="Avenir Next" w:cstheme="majorHAnsi"/>
          <w:sz w:val="18"/>
          <w:szCs w:val="20"/>
        </w:rPr>
      </w:pPr>
    </w:p>
    <w:p w:rsidR="00B618D6" w:rsidRPr="00B618D6" w:rsidRDefault="00B618D6" w:rsidP="00B618D6">
      <w:pPr>
        <w:spacing w:line="276" w:lineRule="auto"/>
        <w:rPr>
          <w:rFonts w:ascii="Avenir Next" w:hAnsi="Avenir Next" w:cstheme="majorHAnsi"/>
          <w:b/>
          <w:sz w:val="18"/>
          <w:szCs w:val="20"/>
        </w:rPr>
      </w:pPr>
      <w:r w:rsidRPr="00B618D6">
        <w:rPr>
          <w:rFonts w:ascii="Avenir Next" w:hAnsi="Avenir Next" w:cstheme="majorHAnsi"/>
          <w:b/>
          <w:sz w:val="18"/>
        </w:rPr>
        <w:t>FUNÇÕES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Horas e minutos no centro</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 xml:space="preserve">Ponteiro central de segundos </w:t>
      </w:r>
    </w:p>
    <w:p w:rsidR="00B618D6" w:rsidRPr="00B618D6" w:rsidRDefault="00B618D6" w:rsidP="00B618D6">
      <w:pPr>
        <w:spacing w:line="276" w:lineRule="auto"/>
        <w:rPr>
          <w:rFonts w:ascii="Avenir Next" w:hAnsi="Avenir Next" w:cstheme="majorHAnsi"/>
          <w:sz w:val="18"/>
          <w:szCs w:val="20"/>
        </w:rPr>
      </w:pPr>
    </w:p>
    <w:p w:rsidR="00B618D6" w:rsidRPr="00B618D6" w:rsidRDefault="00B618D6" w:rsidP="00B618D6">
      <w:pPr>
        <w:spacing w:line="276" w:lineRule="auto"/>
        <w:rPr>
          <w:rFonts w:ascii="Avenir Next" w:hAnsi="Avenir Next" w:cstheme="majorHAnsi"/>
          <w:b/>
          <w:sz w:val="18"/>
          <w:szCs w:val="20"/>
        </w:rPr>
      </w:pPr>
      <w:r w:rsidRPr="00B618D6">
        <w:rPr>
          <w:rFonts w:ascii="Avenir Next" w:hAnsi="Avenir Next" w:cstheme="majorHAnsi"/>
          <w:b/>
          <w:sz w:val="18"/>
        </w:rPr>
        <w:t>CAIXA, MOSTRADOR E PONTEIROS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Diâmetro: 40mm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Diâmetro da abertura: 33,1mm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Espessura: 12,95mm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Cristal: domo de cristal de safira com tratamento antirreflexo em ambos os lados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Fundo da caixa:  Fundo da caixa em titânio gravada com o logotipo dos instrumentos de voo ZENITH</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Material: Bronze</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Resistência à água: 10 ATM</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Mostrador: Preto fosco</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Índices das horas: Numerais arábicos em SuperLumiNova</w:t>
      </w:r>
      <w:r w:rsidRPr="00B618D6">
        <w:rPr>
          <w:rFonts w:ascii="Avenir Next" w:hAnsi="Avenir Next" w:cstheme="majorHAnsi"/>
          <w:sz w:val="18"/>
          <w:vertAlign w:val="superscript"/>
        </w:rPr>
        <w:t xml:space="preserve">® </w:t>
      </w:r>
      <w:r w:rsidRPr="00B618D6">
        <w:rPr>
          <w:rFonts w:ascii="Avenir Next" w:hAnsi="Avenir Next" w:cstheme="majorHAnsi"/>
          <w:sz w:val="18"/>
        </w:rPr>
        <w:t>SLN C1 [Índices das horas]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Ponteiros: banhado a ouro, facetado e revestido com SuperLumiNova</w:t>
      </w:r>
      <w:r w:rsidRPr="00B618D6">
        <w:rPr>
          <w:rFonts w:ascii="Avenir Next" w:hAnsi="Avenir Next" w:cstheme="majorHAnsi"/>
          <w:sz w:val="18"/>
          <w:vertAlign w:val="superscript"/>
        </w:rPr>
        <w:t>®</w:t>
      </w:r>
      <w:r w:rsidRPr="00B618D6">
        <w:rPr>
          <w:rFonts w:ascii="Avenir Next" w:hAnsi="Avenir Next" w:cstheme="majorHAnsi"/>
          <w:sz w:val="18"/>
        </w:rPr>
        <w:t xml:space="preserve"> SLN C1 [Ponteiros]</w:t>
      </w:r>
    </w:p>
    <w:p w:rsidR="00B618D6" w:rsidRPr="00B618D6" w:rsidRDefault="00B618D6" w:rsidP="00B618D6">
      <w:pPr>
        <w:spacing w:line="276" w:lineRule="auto"/>
        <w:rPr>
          <w:rFonts w:ascii="Avenir Next" w:hAnsi="Avenir Next" w:cstheme="majorHAnsi"/>
          <w:sz w:val="18"/>
          <w:szCs w:val="20"/>
        </w:rPr>
      </w:pPr>
    </w:p>
    <w:p w:rsidR="00B618D6" w:rsidRPr="00B618D6" w:rsidRDefault="00B618D6" w:rsidP="00B618D6">
      <w:pPr>
        <w:spacing w:line="276" w:lineRule="auto"/>
        <w:rPr>
          <w:rFonts w:ascii="Avenir Next" w:hAnsi="Avenir Next" w:cstheme="majorHAnsi"/>
          <w:b/>
          <w:sz w:val="18"/>
          <w:szCs w:val="20"/>
        </w:rPr>
      </w:pPr>
      <w:r w:rsidRPr="00B618D6">
        <w:rPr>
          <w:rFonts w:ascii="Avenir Next" w:hAnsi="Avenir Next" w:cstheme="majorHAnsi"/>
          <w:b/>
          <w:sz w:val="18"/>
        </w:rPr>
        <w:t>PULSEIRA E FIVELAS</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Pulseira: Referência: 27.00.2018.800</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 xml:space="preserve">Designação: Pulseira de couro nobuck verde encerado com forro de proteção em borracha </w:t>
      </w:r>
    </w:p>
    <w:p w:rsidR="00B618D6" w:rsidRPr="00B618D6" w:rsidRDefault="00B618D6" w:rsidP="00B618D6">
      <w:pPr>
        <w:spacing w:line="276" w:lineRule="auto"/>
        <w:rPr>
          <w:rFonts w:ascii="Avenir Next" w:hAnsi="Avenir Next" w:cstheme="majorHAnsi"/>
          <w:sz w:val="18"/>
          <w:szCs w:val="20"/>
        </w:rPr>
      </w:pPr>
      <w:r w:rsidRPr="00B618D6">
        <w:rPr>
          <w:rFonts w:ascii="Avenir Next" w:hAnsi="Avenir Next" w:cstheme="majorHAnsi"/>
          <w:sz w:val="18"/>
        </w:rPr>
        <w:t>Fivela: Referência: 27.95.0031.001</w:t>
      </w:r>
    </w:p>
    <w:p w:rsidR="00B618D6" w:rsidRDefault="00B618D6" w:rsidP="00B618D6">
      <w:pPr>
        <w:spacing w:line="276" w:lineRule="auto"/>
        <w:rPr>
          <w:rFonts w:ascii="Avenir Next" w:hAnsi="Avenir Next" w:cstheme="majorHAnsi"/>
          <w:sz w:val="18"/>
        </w:rPr>
      </w:pPr>
      <w:r w:rsidRPr="00B618D6">
        <w:rPr>
          <w:rFonts w:ascii="Avenir Next" w:hAnsi="Avenir Next" w:cstheme="majorHAnsi"/>
          <w:sz w:val="18"/>
        </w:rPr>
        <w:t xml:space="preserve">Designação: Fivela de titânio </w:t>
      </w:r>
    </w:p>
    <w:p w:rsidR="002A12B3" w:rsidRDefault="002A12B3" w:rsidP="00B618D6">
      <w:pPr>
        <w:spacing w:line="276" w:lineRule="auto"/>
        <w:rPr>
          <w:rFonts w:ascii="Avenir Next" w:hAnsi="Avenir Next" w:cstheme="majorHAnsi"/>
          <w:sz w:val="18"/>
          <w:szCs w:val="20"/>
        </w:rPr>
      </w:pPr>
    </w:p>
    <w:p w:rsidR="002A12B3" w:rsidRDefault="002A12B3" w:rsidP="00B618D6">
      <w:pPr>
        <w:spacing w:line="276" w:lineRule="auto"/>
        <w:rPr>
          <w:rFonts w:ascii="Avenir Next" w:hAnsi="Avenir Next" w:cstheme="majorHAnsi"/>
          <w:sz w:val="18"/>
          <w:szCs w:val="20"/>
        </w:rPr>
      </w:pPr>
    </w:p>
    <w:p w:rsidR="002A12B3" w:rsidRDefault="002A12B3" w:rsidP="00B618D6">
      <w:pPr>
        <w:spacing w:line="276" w:lineRule="auto"/>
        <w:rPr>
          <w:rFonts w:ascii="Avenir Next" w:hAnsi="Avenir Next" w:cstheme="majorHAnsi"/>
          <w:sz w:val="18"/>
          <w:szCs w:val="20"/>
        </w:rPr>
      </w:pPr>
    </w:p>
    <w:p w:rsidR="002A12B3" w:rsidRDefault="002A12B3" w:rsidP="00B618D6">
      <w:pPr>
        <w:spacing w:line="276" w:lineRule="auto"/>
        <w:rPr>
          <w:rFonts w:ascii="Avenir Next" w:hAnsi="Avenir Next" w:cstheme="majorHAnsi"/>
          <w:sz w:val="18"/>
          <w:szCs w:val="20"/>
        </w:rPr>
      </w:pPr>
    </w:p>
    <w:p w:rsidR="002A12B3" w:rsidRPr="003504C2" w:rsidRDefault="002A12B3" w:rsidP="002A12B3">
      <w:pPr>
        <w:spacing w:after="120"/>
        <w:rPr>
          <w:rFonts w:ascii="Avenir Next" w:hAnsi="Avenir Next" w:cs="Arial"/>
          <w:b/>
          <w:szCs w:val="20"/>
        </w:rPr>
      </w:pPr>
      <w:bookmarkStart w:id="0" w:name="_GoBack"/>
      <w:r w:rsidRPr="002A12B3">
        <w:rPr>
          <w:rFonts w:ascii="Avenir Next" w:hAnsi="Avenir Next" w:cs="Arial"/>
          <w:noProof/>
          <w:sz w:val="18"/>
        </w:rPr>
        <w:lastRenderedPageBreak/>
        <w:drawing>
          <wp:anchor distT="0" distB="0" distL="114300" distR="114300" simplePos="0" relativeHeight="251661312" behindDoc="1" locked="0" layoutInCell="1" allowOverlap="1">
            <wp:simplePos x="0" y="0"/>
            <wp:positionH relativeFrom="column">
              <wp:posOffset>3484245</wp:posOffset>
            </wp:positionH>
            <wp:positionV relativeFrom="paragraph">
              <wp:posOffset>22860</wp:posOffset>
            </wp:positionV>
            <wp:extent cx="2522220" cy="3596640"/>
            <wp:effectExtent l="0" t="0" r="0" b="3810"/>
            <wp:wrapTight wrapText="bothSides">
              <wp:wrapPolygon edited="0">
                <wp:start x="0" y="0"/>
                <wp:lineTo x="0" y="21508"/>
                <wp:lineTo x="21372" y="21508"/>
                <wp:lineTo x="21372" y="0"/>
                <wp:lineTo x="0" y="0"/>
              </wp:wrapPolygon>
            </wp:wrapTight>
            <wp:docPr id="3" name="Picture 3" descr="\\WJEZEN-SCHLOE\Departement_MarCom_Dossiers\_Communication 2019\PR\BASELWORLD 2019\PRESS KITS\EL PRIMERO REVIVAL A386\IMAGES\ZENITH_El Primero Revival A386_Rose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EL PRIMERO REVIVAL A386\IMAGES\ZENITH_El Primero Revival A386_Rose G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3504C2">
        <w:rPr>
          <w:rFonts w:ascii="Avenir Next" w:hAnsi="Avenir Next"/>
          <w:b/>
          <w:noProof/>
        </w:rPr>
        <w:t>EL PRIMERO A386 REVIVAL</w:t>
      </w:r>
    </w:p>
    <w:p w:rsidR="002A12B3" w:rsidRPr="003504C2" w:rsidRDefault="002A12B3" w:rsidP="002A12B3">
      <w:pPr>
        <w:rPr>
          <w:rFonts w:ascii="Avenir Next" w:hAnsi="Avenir Next" w:cs="Arial"/>
          <w:sz w:val="18"/>
          <w:szCs w:val="20"/>
        </w:rPr>
      </w:pPr>
      <w:r w:rsidRPr="003504C2">
        <w:rPr>
          <w:rFonts w:ascii="Avenir Next" w:hAnsi="Avenir Next" w:cs="Arial"/>
          <w:sz w:val="18"/>
        </w:rPr>
        <w:t>DETALHES TÉCNICOS</w:t>
      </w:r>
    </w:p>
    <w:p w:rsidR="002A12B3" w:rsidRPr="003504C2" w:rsidRDefault="002A12B3" w:rsidP="002A12B3">
      <w:pPr>
        <w:rPr>
          <w:rFonts w:ascii="Avenir Next" w:hAnsi="Avenir Next" w:cs="Arial"/>
          <w:sz w:val="10"/>
          <w:szCs w:val="10"/>
        </w:rPr>
      </w:pP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Referência: 18.A386.400/69.C807</w:t>
      </w:r>
      <w:r w:rsidRPr="002A12B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A12B3" w:rsidRPr="003504C2" w:rsidRDefault="002A12B3" w:rsidP="002A12B3">
      <w:pPr>
        <w:spacing w:after="40"/>
        <w:rPr>
          <w:rFonts w:ascii="Avenir Next" w:hAnsi="Avenir Next" w:cs="Arial"/>
          <w:b/>
          <w:sz w:val="10"/>
          <w:szCs w:val="10"/>
        </w:rPr>
      </w:pPr>
    </w:p>
    <w:p w:rsidR="002A12B3" w:rsidRPr="003504C2" w:rsidRDefault="002A12B3" w:rsidP="002A12B3">
      <w:pPr>
        <w:spacing w:after="40"/>
        <w:rPr>
          <w:rFonts w:ascii="Avenir Next" w:hAnsi="Avenir Next" w:cs="Arial"/>
          <w:b/>
          <w:sz w:val="18"/>
          <w:szCs w:val="20"/>
        </w:rPr>
      </w:pPr>
      <w:r w:rsidRPr="003504C2">
        <w:rPr>
          <w:rFonts w:ascii="Avenir Next" w:hAnsi="Avenir Next" w:cs="Arial"/>
          <w:b/>
          <w:sz w:val="18"/>
        </w:rPr>
        <w:t xml:space="preserve">PRINCIPAIS PONTOS </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Revival do primeiro modelo El Primero de 1969</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Revival da caixa original com 38 mm de diâmetro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Cronógrafo automático de roda de coluna El Primero</w:t>
      </w:r>
    </w:p>
    <w:p w:rsidR="002A12B3" w:rsidRPr="003504C2" w:rsidRDefault="002A12B3" w:rsidP="002A12B3">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Versão em ouro rosé: Edição limitada a 50 unidades</w:t>
      </w:r>
    </w:p>
    <w:p w:rsidR="002A12B3" w:rsidRPr="003504C2" w:rsidRDefault="002A12B3" w:rsidP="002A12B3">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50 anos de garantia</w:t>
      </w:r>
    </w:p>
    <w:p w:rsidR="002A12B3" w:rsidRPr="003504C2" w:rsidRDefault="002A12B3" w:rsidP="002A12B3">
      <w:pPr>
        <w:spacing w:after="40"/>
        <w:rPr>
          <w:rFonts w:ascii="Avenir Next" w:hAnsi="Avenir Next" w:cs="Arial"/>
          <w:sz w:val="10"/>
          <w:szCs w:val="10"/>
        </w:rPr>
      </w:pPr>
    </w:p>
    <w:p w:rsidR="002A12B3" w:rsidRPr="003504C2" w:rsidRDefault="002A12B3" w:rsidP="002A12B3">
      <w:pPr>
        <w:spacing w:after="40"/>
        <w:rPr>
          <w:rFonts w:ascii="Avenir Next" w:hAnsi="Avenir Next" w:cs="Arial"/>
          <w:b/>
          <w:sz w:val="18"/>
          <w:szCs w:val="20"/>
        </w:rPr>
      </w:pPr>
      <w:r w:rsidRPr="003504C2">
        <w:rPr>
          <w:rFonts w:ascii="Avenir Next" w:hAnsi="Avenir Next" w:cs="Arial"/>
          <w:b/>
          <w:sz w:val="18"/>
        </w:rPr>
        <w:t>MOVIMENTO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El Primero 400, automático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Calibre: 13</w:t>
      </w:r>
      <w:r w:rsidRPr="003504C2">
        <w:rPr>
          <w:rFonts w:ascii="Avenir Next" w:hAnsi="Avenir Next" w:cs="DINOT-Light"/>
          <w:sz w:val="18"/>
        </w:rPr>
        <w:t xml:space="preserve"> ¼ </w:t>
      </w:r>
      <w:r w:rsidRPr="003504C2">
        <w:rPr>
          <w:rFonts w:ascii="Avenir Next" w:hAnsi="Avenir Next" w:cs="Arial"/>
          <w:sz w:val="18"/>
        </w:rPr>
        <w:t>``` (Diâmetro: 30 mm)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Espessura do movimento: 6,6 mm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Componentes: 278</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Joias: 31</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Frequência: 36.000 VpH (5 Hz)</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Reserva de marcha: mín. 50 horas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Acabamento: Massa oscilante com o motivo “Côtes de Genève”. motivo</w:t>
      </w:r>
    </w:p>
    <w:p w:rsidR="002A12B3" w:rsidRPr="003504C2" w:rsidRDefault="002A12B3" w:rsidP="002A12B3">
      <w:pPr>
        <w:spacing w:after="40"/>
        <w:rPr>
          <w:rFonts w:ascii="Avenir Next" w:hAnsi="Avenir Next" w:cs="Arial"/>
          <w:sz w:val="10"/>
          <w:szCs w:val="10"/>
        </w:rPr>
      </w:pPr>
    </w:p>
    <w:p w:rsidR="002A12B3" w:rsidRPr="003504C2" w:rsidRDefault="002A12B3" w:rsidP="002A12B3">
      <w:pPr>
        <w:spacing w:after="40"/>
        <w:rPr>
          <w:rFonts w:ascii="Avenir Next" w:hAnsi="Avenir Next" w:cs="Arial"/>
          <w:b/>
          <w:sz w:val="18"/>
          <w:szCs w:val="20"/>
        </w:rPr>
      </w:pPr>
      <w:r w:rsidRPr="003504C2">
        <w:rPr>
          <w:rFonts w:ascii="Avenir Next" w:hAnsi="Avenir Next" w:cs="Arial"/>
          <w:b/>
          <w:sz w:val="18"/>
        </w:rPr>
        <w:t>FUNÇÕES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Horas e minutos ao centro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Segundos pequenos às 9 horas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Cronógrafo: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Ponteiro do cronógrafo central</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Contador de 12 horas às 6 horas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Contador de 30 minutos às 3 horas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Escala taquimétrica</w:t>
      </w:r>
    </w:p>
    <w:p w:rsidR="002A12B3" w:rsidRPr="003504C2" w:rsidRDefault="002A12B3" w:rsidP="002A12B3">
      <w:pPr>
        <w:spacing w:after="40"/>
        <w:rPr>
          <w:rFonts w:ascii="Avenir Next" w:eastAsiaTheme="minorHAnsi" w:hAnsi="Avenir Next" w:cs="OpenSans-CondensedLight"/>
          <w:sz w:val="20"/>
          <w:szCs w:val="20"/>
        </w:rPr>
      </w:pPr>
      <w:r w:rsidRPr="003504C2">
        <w:rPr>
          <w:rFonts w:ascii="Avenir Next" w:hAnsi="Avenir Next" w:cs="Arial"/>
          <w:sz w:val="18"/>
        </w:rPr>
        <w:t>Indicação de data às 4:30</w:t>
      </w:r>
    </w:p>
    <w:p w:rsidR="002A12B3" w:rsidRPr="003504C2" w:rsidRDefault="002A12B3" w:rsidP="002A12B3">
      <w:pPr>
        <w:spacing w:after="40"/>
        <w:rPr>
          <w:rFonts w:ascii="Avenir Next" w:hAnsi="Avenir Next" w:cs="Arial"/>
          <w:sz w:val="10"/>
          <w:szCs w:val="10"/>
        </w:rPr>
      </w:pPr>
    </w:p>
    <w:p w:rsidR="002A12B3" w:rsidRPr="003504C2" w:rsidRDefault="002A12B3" w:rsidP="002A12B3">
      <w:pPr>
        <w:spacing w:after="40"/>
        <w:rPr>
          <w:rFonts w:ascii="Avenir Next" w:hAnsi="Avenir Next" w:cs="Arial"/>
          <w:b/>
          <w:sz w:val="18"/>
          <w:szCs w:val="20"/>
        </w:rPr>
      </w:pPr>
      <w:r w:rsidRPr="003504C2">
        <w:rPr>
          <w:rFonts w:ascii="Avenir Next" w:hAnsi="Avenir Next" w:cs="Arial"/>
          <w:b/>
          <w:sz w:val="18"/>
        </w:rPr>
        <w:t>CAIXA, MOSTRADOR E PONTEIROS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Diâmetro: 38 mm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Diâmetro da abertura: 33,05 mm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Espessura: 12,60 mm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Vidro: Caixa em vidro de safira convexo com tratamento antirreflexo em ambos os lados</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Fundo da caixa: vidro de safira transparente</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Material: Ouro rosé</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Estanqueidade: 10 ATM</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xml:space="preserve">Mostrador: mostrador laqueado branco com três contadores em cores diferentes </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xml:space="preserve">Índices das horas: </w:t>
      </w:r>
      <w:r w:rsidRPr="003504C2">
        <w:rPr>
          <w:rFonts w:ascii="Avenir Next" w:hAnsi="Avenir Next" w:cs="OpenSans-CondensedLight"/>
          <w:sz w:val="18"/>
        </w:rPr>
        <w:t>Banhado a ouro</w:t>
      </w:r>
      <w:r w:rsidRPr="003504C2">
        <w:rPr>
          <w:rFonts w:ascii="Avenir Next" w:hAnsi="Avenir Next" w:cs="Arial"/>
          <w:sz w:val="18"/>
        </w:rPr>
        <w:t>, facetado e revestido com Super-LumiNova® SLN C3</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 xml:space="preserve">Ponteiros: </w:t>
      </w:r>
      <w:r w:rsidRPr="003504C2">
        <w:rPr>
          <w:rFonts w:ascii="Avenir Next" w:hAnsi="Avenir Next" w:cs="OpenSans-CondensedLight"/>
          <w:sz w:val="18"/>
        </w:rPr>
        <w:t>Banhado a ouro</w:t>
      </w:r>
      <w:r w:rsidRPr="003504C2">
        <w:rPr>
          <w:rFonts w:ascii="Avenir Next" w:hAnsi="Avenir Next" w:cs="Arial"/>
          <w:sz w:val="18"/>
        </w:rPr>
        <w:t>, facetado e revestido com Super-LumiNova® SLN C3</w:t>
      </w:r>
    </w:p>
    <w:p w:rsidR="002A12B3" w:rsidRPr="003504C2" w:rsidRDefault="002A12B3" w:rsidP="002A12B3">
      <w:pPr>
        <w:spacing w:after="40"/>
        <w:rPr>
          <w:rFonts w:ascii="Avenir Next" w:hAnsi="Avenir Next" w:cs="Arial"/>
          <w:sz w:val="10"/>
          <w:szCs w:val="10"/>
        </w:rPr>
      </w:pPr>
    </w:p>
    <w:p w:rsidR="002A12B3" w:rsidRPr="003504C2" w:rsidRDefault="002A12B3" w:rsidP="002A12B3">
      <w:pPr>
        <w:spacing w:after="40"/>
        <w:rPr>
          <w:rFonts w:ascii="Avenir Next" w:hAnsi="Avenir Next" w:cs="Arial"/>
          <w:b/>
          <w:sz w:val="18"/>
          <w:szCs w:val="20"/>
        </w:rPr>
      </w:pPr>
      <w:r w:rsidRPr="003504C2">
        <w:rPr>
          <w:rFonts w:ascii="Avenir Next" w:hAnsi="Avenir Next" w:cs="Arial"/>
          <w:b/>
          <w:sz w:val="18"/>
        </w:rPr>
        <w:t>PULSEIRA E FECHO</w:t>
      </w:r>
    </w:p>
    <w:p w:rsidR="002A12B3" w:rsidRPr="003504C2" w:rsidRDefault="002A12B3" w:rsidP="002A12B3">
      <w:pPr>
        <w:spacing w:after="40"/>
        <w:rPr>
          <w:rFonts w:ascii="Avenir Next" w:hAnsi="Avenir Next" w:cs="Arial"/>
          <w:sz w:val="18"/>
          <w:szCs w:val="20"/>
        </w:rPr>
      </w:pPr>
      <w:r w:rsidRPr="003504C2">
        <w:rPr>
          <w:rFonts w:ascii="Avenir Next" w:hAnsi="Avenir Next" w:cs="Arial"/>
          <w:sz w:val="18"/>
        </w:rPr>
        <w:t>Pulseira em couro de crocodilo marrom com forro de proteção em borracha</w:t>
      </w:r>
    </w:p>
    <w:p w:rsidR="00B618D6" w:rsidRPr="002A12B3" w:rsidRDefault="002A12B3" w:rsidP="002A12B3">
      <w:pPr>
        <w:tabs>
          <w:tab w:val="left" w:pos="8564"/>
        </w:tabs>
        <w:spacing w:after="120"/>
        <w:jc w:val="both"/>
        <w:rPr>
          <w:rFonts w:ascii="Avenir Next" w:hAnsi="Avenir Next" w:cstheme="majorHAnsi"/>
          <w:color w:val="000000" w:themeColor="text1"/>
          <w:sz w:val="18"/>
          <w:szCs w:val="18"/>
        </w:rPr>
      </w:pPr>
      <w:r w:rsidRPr="003504C2">
        <w:rPr>
          <w:rFonts w:ascii="Avenir Next" w:hAnsi="Avenir Next" w:cstheme="majorHAnsi"/>
          <w:color w:val="000000" w:themeColor="text1"/>
          <w:sz w:val="18"/>
        </w:rPr>
        <w:t xml:space="preserve">Fivela em </w:t>
      </w:r>
      <w:r w:rsidRPr="003504C2">
        <w:rPr>
          <w:rFonts w:ascii="Avenir Next" w:hAnsi="Avenir Next" w:cs="Arial"/>
          <w:sz w:val="18"/>
        </w:rPr>
        <w:t>ouro rosé</w:t>
      </w:r>
      <w:bookmarkEnd w:id="0"/>
    </w:p>
    <w:sectPr w:rsidR="00B618D6" w:rsidRPr="002A12B3"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68" w:rsidRDefault="007F7268" w:rsidP="007F7268">
      <w:r>
        <w:separator/>
      </w:r>
    </w:p>
  </w:endnote>
  <w:endnote w:type="continuationSeparator" w:id="0">
    <w:p w:rsidR="007F7268" w:rsidRDefault="007F7268" w:rsidP="007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Pr="004865C0" w:rsidRDefault="007F7268" w:rsidP="003836C0">
    <w:pPr>
      <w:pStyle w:val="Footer"/>
      <w:jc w:val="center"/>
      <w:rPr>
        <w:rFonts w:ascii="Avenir Next" w:hAnsi="Avenir Next"/>
        <w:sz w:val="18"/>
        <w:szCs w:val="18"/>
        <w:lang w:val="fr-CH"/>
      </w:rPr>
    </w:pPr>
    <w:r w:rsidRPr="004865C0">
      <w:rPr>
        <w:rFonts w:ascii="Avenir Next" w:hAnsi="Avenir Next"/>
        <w:b/>
        <w:sz w:val="18"/>
        <w:lang w:val="fr-CH"/>
      </w:rPr>
      <w:t>ZENITH</w:t>
    </w:r>
    <w:r w:rsidRPr="004865C0">
      <w:rPr>
        <w:rFonts w:ascii="Avenir Next" w:hAnsi="Avenir Next"/>
        <w:sz w:val="18"/>
        <w:lang w:val="fr-CH"/>
      </w:rPr>
      <w:t xml:space="preserve"> | www.zenith-watches.com | Rue des Billodes 34-36 | CH-2400 Le Locle</w:t>
    </w:r>
  </w:p>
  <w:p w:rsidR="00422F85" w:rsidRPr="003836C0" w:rsidRDefault="007F7268" w:rsidP="003836C0">
    <w:pPr>
      <w:pStyle w:val="Footer"/>
      <w:jc w:val="center"/>
      <w:rPr>
        <w:rFonts w:ascii="Avenir Next" w:hAnsi="Avenir Next"/>
        <w:sz w:val="18"/>
        <w:szCs w:val="18"/>
      </w:rPr>
    </w:pPr>
    <w:r>
      <w:rPr>
        <w:rFonts w:ascii="Avenir Next" w:hAnsi="Avenir Next"/>
        <w:sz w:val="18"/>
      </w:rPr>
      <w:t xml:space="preserve">Relações Públicas Internacionais: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68" w:rsidRDefault="007F7268" w:rsidP="007F7268">
      <w:r>
        <w:separator/>
      </w:r>
    </w:p>
  </w:footnote>
  <w:footnote w:type="continuationSeparator" w:id="0">
    <w:p w:rsidR="007F7268" w:rsidRDefault="007F7268" w:rsidP="007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Default="007F7268" w:rsidP="003836C0">
    <w:pPr>
      <w:pStyle w:val="Header"/>
      <w:jc w:val="center"/>
    </w:pPr>
    <w:r>
      <w:rPr>
        <w:noProof/>
        <w:lang w:val="fr-CH" w:eastAsia="ja-JP"/>
      </w:rPr>
      <w:drawing>
        <wp:inline distT="0" distB="0" distL="0" distR="0" wp14:anchorId="7E79B3F5" wp14:editId="1DF9C38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422F85" w:rsidRDefault="002A12B3" w:rsidP="003836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68"/>
    <w:rsid w:val="00006CF2"/>
    <w:rsid w:val="00015D80"/>
    <w:rsid w:val="00240355"/>
    <w:rsid w:val="002845F3"/>
    <w:rsid w:val="002A12B3"/>
    <w:rsid w:val="002E5806"/>
    <w:rsid w:val="00365B7A"/>
    <w:rsid w:val="004865C0"/>
    <w:rsid w:val="004E4A65"/>
    <w:rsid w:val="00716A9A"/>
    <w:rsid w:val="00756F70"/>
    <w:rsid w:val="007F7268"/>
    <w:rsid w:val="009F4D3F"/>
    <w:rsid w:val="00AB7C2E"/>
    <w:rsid w:val="00B618D6"/>
    <w:rsid w:val="00C72A58"/>
    <w:rsid w:val="00C929D0"/>
    <w:rsid w:val="00CF1DB7"/>
    <w:rsid w:val="00FB413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10C6"/>
  <w15:chartTrackingRefBased/>
  <w15:docId w15:val="{3AD39211-BBA6-4F7F-893C-C1F3EF0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6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68"/>
    <w:pPr>
      <w:tabs>
        <w:tab w:val="center" w:pos="4320"/>
        <w:tab w:val="right" w:pos="8640"/>
      </w:tabs>
    </w:pPr>
  </w:style>
  <w:style w:type="character" w:customStyle="1" w:styleId="HeaderChar">
    <w:name w:val="Header Char"/>
    <w:basedOn w:val="DefaultParagraphFont"/>
    <w:link w:val="Header"/>
    <w:uiPriority w:val="99"/>
    <w:rsid w:val="007F7268"/>
    <w:rPr>
      <w:sz w:val="24"/>
      <w:szCs w:val="24"/>
      <w:lang w:val="pt-BR" w:eastAsia="en-US"/>
    </w:rPr>
  </w:style>
  <w:style w:type="paragraph" w:styleId="Footer">
    <w:name w:val="footer"/>
    <w:basedOn w:val="Normal"/>
    <w:link w:val="FooterChar"/>
    <w:uiPriority w:val="99"/>
    <w:unhideWhenUsed/>
    <w:rsid w:val="007F7268"/>
    <w:pPr>
      <w:tabs>
        <w:tab w:val="center" w:pos="4320"/>
        <w:tab w:val="right" w:pos="8640"/>
      </w:tabs>
    </w:pPr>
  </w:style>
  <w:style w:type="character" w:customStyle="1" w:styleId="FooterChar">
    <w:name w:val="Footer Char"/>
    <w:basedOn w:val="DefaultParagraphFont"/>
    <w:link w:val="Footer"/>
    <w:uiPriority w:val="99"/>
    <w:rsid w:val="007F7268"/>
    <w:rPr>
      <w:sz w:val="24"/>
      <w:szCs w:val="24"/>
      <w:lang w:val="pt-BR" w:eastAsia="en-US"/>
    </w:rPr>
  </w:style>
  <w:style w:type="character" w:styleId="Hyperlink">
    <w:name w:val="Hyperlink"/>
    <w:rsid w:val="007F7268"/>
    <w:rPr>
      <w:u w:val="single"/>
    </w:rPr>
  </w:style>
  <w:style w:type="paragraph" w:customStyle="1" w:styleId="A">
    <w:name w:val="內文 A"/>
    <w:rsid w:val="00B618D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Vittoria Pelà</cp:lastModifiedBy>
  <cp:revision>6</cp:revision>
  <dcterms:created xsi:type="dcterms:W3CDTF">2019-07-04T09:36:00Z</dcterms:created>
  <dcterms:modified xsi:type="dcterms:W3CDTF">2019-07-11T14:09:00Z</dcterms:modified>
</cp:coreProperties>
</file>