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AD54A" w14:textId="3099AEE7" w:rsidR="002371D2" w:rsidRPr="00CE21EA" w:rsidRDefault="00326EB8" w:rsidP="00435E7F">
      <w:pPr>
        <w:jc w:val="center"/>
        <w:rPr>
          <w:rFonts w:ascii="Avenir Next" w:hAnsi="Avenir Next"/>
          <w:b/>
          <w:sz w:val="22"/>
          <w:szCs w:val="22"/>
        </w:rPr>
      </w:pPr>
      <w:r>
        <w:rPr>
          <w:rFonts w:ascii="Avenir Next" w:hAnsi="Avenir Next"/>
          <w:b/>
          <w:sz w:val="22"/>
          <w:szCs w:val="22"/>
        </w:rPr>
        <w:t>Z</w:t>
      </w:r>
      <w:r w:rsidRPr="00CE21EA">
        <w:rPr>
          <w:rFonts w:ascii="Avenir Next" w:hAnsi="Avenir Next"/>
          <w:b/>
          <w:sz w:val="22"/>
          <w:szCs w:val="22"/>
        </w:rPr>
        <w:t>ENITH EXPLORA UN NUEVO ESPECTRO DE COLOR CON EL PRIMER MOVIMIENTO CRONÓGRAFO EN VIOLETA: DEFY 21 ULTRAVIOLET</w:t>
      </w:r>
    </w:p>
    <w:p w14:paraId="4FF58187" w14:textId="77777777" w:rsidR="00F52210" w:rsidRPr="00CE21EA" w:rsidRDefault="00F52210" w:rsidP="00190DED">
      <w:pPr>
        <w:rPr>
          <w:rFonts w:ascii="Avenir Next" w:hAnsi="Avenir Next"/>
          <w:sz w:val="18"/>
          <w:szCs w:val="18"/>
        </w:rPr>
      </w:pPr>
    </w:p>
    <w:p w14:paraId="1876E572" w14:textId="70DDBECC" w:rsidR="003672E3" w:rsidRPr="00CE21EA" w:rsidRDefault="003672E3" w:rsidP="00190DED">
      <w:pPr>
        <w:jc w:val="both"/>
        <w:rPr>
          <w:rFonts w:ascii="Avenir Next" w:hAnsi="Avenir Next" w:cs="Times New Roman"/>
          <w:sz w:val="18"/>
          <w:szCs w:val="18"/>
        </w:rPr>
      </w:pPr>
      <w:r w:rsidRPr="00CE21EA">
        <w:rPr>
          <w:rFonts w:ascii="Avenir Next" w:hAnsi="Avenir Next"/>
          <w:sz w:val="18"/>
          <w:szCs w:val="18"/>
        </w:rPr>
        <w:t>Si todos los colores que pueden percibir nuestros ojos se consideran frecuencias de luz visible, el violeta es el que cuenta con la mayor frecuencia de todos. Por encima, se encuentra la luz ultravioleta, invisible. La mejor forma de combinar este intenso y energético color era hacerlo con el cronógrafo de mayor frecuencia de producción regular: el DEFY 21.</w:t>
      </w:r>
    </w:p>
    <w:p w14:paraId="244D123E" w14:textId="77777777" w:rsidR="003672E3" w:rsidRPr="00CE21EA" w:rsidRDefault="003672E3" w:rsidP="00190DED">
      <w:pPr>
        <w:jc w:val="both"/>
        <w:rPr>
          <w:rFonts w:ascii="Avenir Next" w:eastAsia="Times New Roman" w:hAnsi="Avenir Next" w:cs="Times New Roman"/>
          <w:sz w:val="18"/>
          <w:szCs w:val="18"/>
        </w:rPr>
      </w:pPr>
    </w:p>
    <w:p w14:paraId="3BC1A778" w14:textId="77777777" w:rsidR="003672E3" w:rsidRPr="00CE21EA" w:rsidRDefault="007133FB" w:rsidP="00190DED">
      <w:pPr>
        <w:jc w:val="both"/>
        <w:rPr>
          <w:rFonts w:ascii="Avenir Next" w:eastAsia="Times New Roman" w:hAnsi="Avenir Next" w:cs="Times New Roman"/>
          <w:sz w:val="18"/>
          <w:szCs w:val="18"/>
        </w:rPr>
      </w:pPr>
      <w:r w:rsidRPr="00CE21EA">
        <w:rPr>
          <w:rFonts w:ascii="Avenir Next" w:hAnsi="Avenir Next"/>
          <w:sz w:val="18"/>
          <w:szCs w:val="18"/>
        </w:rPr>
        <w:t xml:space="preserve">En los siglos anteriores, el violeta era codiciado como uno de los tintes para prendas más difíciles de encontrar, y su producción era un secreto bien guardado por civilizaciones como la fenicia. Su singularidad y cautivadora belleza lo convirtieron en algo propio de la realeza. Hoy en día, los </w:t>
      </w:r>
      <w:proofErr w:type="gramStart"/>
      <w:r w:rsidRPr="00CE21EA">
        <w:rPr>
          <w:rFonts w:ascii="Avenir Next" w:hAnsi="Avenir Next"/>
          <w:sz w:val="18"/>
          <w:szCs w:val="18"/>
        </w:rPr>
        <w:t>tonos violeta</w:t>
      </w:r>
      <w:proofErr w:type="gramEnd"/>
      <w:r w:rsidRPr="00CE21EA">
        <w:rPr>
          <w:rFonts w:ascii="Avenir Next" w:hAnsi="Avenir Next"/>
          <w:sz w:val="18"/>
          <w:szCs w:val="18"/>
        </w:rPr>
        <w:t xml:space="preserve"> reflejan un sentido de atrevimiento, seguridad y extravagancia, desde los coches de carreras hasta los trajes a medida. Sin embargo, el violeta sigue siendo una rareza en el mundo de la relojería.</w:t>
      </w:r>
    </w:p>
    <w:p w14:paraId="0F42835C" w14:textId="7A361FF3" w:rsidR="003672E3" w:rsidRPr="00CE21EA" w:rsidRDefault="003672E3" w:rsidP="00190DED">
      <w:pPr>
        <w:jc w:val="both"/>
        <w:rPr>
          <w:rFonts w:ascii="Avenir Next" w:hAnsi="Avenir Next" w:cs="Times New Roman"/>
          <w:sz w:val="18"/>
          <w:szCs w:val="18"/>
        </w:rPr>
      </w:pPr>
    </w:p>
    <w:p w14:paraId="05B60EF5" w14:textId="4772F8CF" w:rsidR="003672E3" w:rsidRPr="00CE21EA" w:rsidRDefault="00B57995" w:rsidP="00190DED">
      <w:pPr>
        <w:jc w:val="both"/>
        <w:rPr>
          <w:rFonts w:ascii="Avenir Next" w:hAnsi="Avenir Next" w:cs="Times New Roman"/>
          <w:sz w:val="18"/>
          <w:szCs w:val="18"/>
        </w:rPr>
      </w:pPr>
      <w:r w:rsidRPr="00CE21EA">
        <w:rPr>
          <w:rFonts w:ascii="Avenir Next" w:hAnsi="Avenir Next"/>
          <w:sz w:val="18"/>
          <w:szCs w:val="18"/>
        </w:rPr>
        <w:t>El diseño de Zenith del movimiento cronógrafo automático con los tonos violetas, suntuosos y propios de la realeza, es una primicia mundial en la relojería. No es un cronógrafo cualquiera, Zenith eligió su revolucionario cronógrafo El Primero 21 con indicación de las centésimas de segundo, que oscila a una increíble frecuencia de 50 Hz, como el lienzo para esta creación visual y mecánicamente deslumbrante.</w:t>
      </w:r>
    </w:p>
    <w:p w14:paraId="346878C3" w14:textId="77777777" w:rsidR="003672E3" w:rsidRPr="00CE21EA" w:rsidRDefault="003672E3" w:rsidP="00190DED">
      <w:pPr>
        <w:jc w:val="both"/>
        <w:rPr>
          <w:rFonts w:ascii="Avenir Next" w:eastAsia="Times New Roman" w:hAnsi="Avenir Next" w:cs="Times New Roman"/>
          <w:sz w:val="18"/>
          <w:szCs w:val="18"/>
        </w:rPr>
      </w:pPr>
    </w:p>
    <w:p w14:paraId="3A27530B" w14:textId="5719B162" w:rsidR="00190DED" w:rsidRPr="00CE21EA" w:rsidRDefault="003672E3" w:rsidP="00190DED">
      <w:pPr>
        <w:jc w:val="both"/>
        <w:rPr>
          <w:rFonts w:ascii="Avenir Next" w:eastAsia="Times New Roman" w:hAnsi="Avenir Next" w:cs="Times New Roman"/>
          <w:sz w:val="18"/>
          <w:szCs w:val="18"/>
        </w:rPr>
      </w:pPr>
      <w:r w:rsidRPr="00CE21EA">
        <w:rPr>
          <w:rFonts w:ascii="Avenir Next" w:hAnsi="Avenir Next"/>
          <w:sz w:val="18"/>
          <w:szCs w:val="18"/>
        </w:rPr>
        <w:t>El increíble movimiento violeta del DEFY 21, visible a través de la esfera abierta, que cuenta con tres cronógrafos grises y un anillo alrededor gris, se ve realzado con una concepción y un diseño del movimiento únicos y vanguardistas, con puentes angulosos y abiertos. La aguja del segundo cronógrafo central con punta blanca e indicación de las centésimas de segundo realiza una vuelta completa por encima de la esfera en un segundo. Aparte de la edición del 50.</w:t>
      </w:r>
      <w:r w:rsidRPr="00CE21EA">
        <w:rPr>
          <w:rFonts w:ascii="Avenir Next" w:hAnsi="Avenir Next"/>
          <w:sz w:val="18"/>
          <w:szCs w:val="18"/>
          <w:vertAlign w:val="superscript"/>
        </w:rPr>
        <w:t>o</w:t>
      </w:r>
      <w:r w:rsidRPr="00CE21EA">
        <w:rPr>
          <w:rFonts w:ascii="Avenir Next" w:hAnsi="Avenir Next"/>
          <w:sz w:val="18"/>
          <w:szCs w:val="18"/>
        </w:rPr>
        <w:t xml:space="preserve"> aniversario del DEFY 21 El Primero, que solo estuvo disponible como estuche con otros dos relojes, el DEFY 21 </w:t>
      </w:r>
      <w:proofErr w:type="spellStart"/>
      <w:r w:rsidRPr="00CE21EA">
        <w:rPr>
          <w:rFonts w:ascii="Avenir Next" w:hAnsi="Avenir Next"/>
          <w:sz w:val="18"/>
          <w:szCs w:val="18"/>
        </w:rPr>
        <w:t>Ultraviolet</w:t>
      </w:r>
      <w:proofErr w:type="spellEnd"/>
      <w:r w:rsidRPr="00CE21EA">
        <w:rPr>
          <w:rFonts w:ascii="Avenir Next" w:hAnsi="Avenir Next"/>
          <w:sz w:val="18"/>
          <w:szCs w:val="18"/>
        </w:rPr>
        <w:t xml:space="preserve"> es el primer DEFY 21 independiente con una esfera abierta combinada con contadores de cronógrafo cerrados.</w:t>
      </w:r>
    </w:p>
    <w:p w14:paraId="26EDADAE" w14:textId="11A993F5" w:rsidR="003672E3" w:rsidRPr="00CE21EA" w:rsidRDefault="003672E3" w:rsidP="00190DED">
      <w:pPr>
        <w:jc w:val="both"/>
        <w:rPr>
          <w:rFonts w:ascii="Avenir Next" w:hAnsi="Avenir Next"/>
          <w:sz w:val="18"/>
          <w:szCs w:val="18"/>
        </w:rPr>
      </w:pPr>
    </w:p>
    <w:p w14:paraId="072CA1B7" w14:textId="030A27CF" w:rsidR="009315FD" w:rsidRPr="00CE21EA" w:rsidRDefault="003672E3" w:rsidP="00190DED">
      <w:pPr>
        <w:jc w:val="both"/>
        <w:rPr>
          <w:rFonts w:ascii="Avenir Next" w:hAnsi="Avenir Next" w:cs="Times New Roman"/>
          <w:sz w:val="18"/>
          <w:szCs w:val="18"/>
        </w:rPr>
      </w:pPr>
      <w:r w:rsidRPr="00CE21EA">
        <w:rPr>
          <w:rFonts w:ascii="Avenir Next" w:hAnsi="Avenir Next"/>
          <w:sz w:val="18"/>
          <w:szCs w:val="18"/>
        </w:rPr>
        <w:t>La caja facetada de 44 mm del DEFY, que hace destacar los puentes morados del movimiento, al tiempo que proporciona un contraste incluso más impactante, presenta un acabado arenado completamente mate, que saca a relucir los tonos metalizados más oscuros del titanio. La correa de caucho negra complementa los tonos del movimiento Open, que pasa de cálidos tonos violetas a fríos morados, con una inserción violeta que imita el aspecto del tejido confeccionado.</w:t>
      </w:r>
    </w:p>
    <w:p w14:paraId="4CBD5F51" w14:textId="17FE8955" w:rsidR="008406A2" w:rsidRPr="00CE21EA" w:rsidRDefault="008406A2" w:rsidP="00190DED">
      <w:pPr>
        <w:jc w:val="both"/>
        <w:rPr>
          <w:rFonts w:ascii="Avenir Next" w:hAnsi="Avenir Next" w:cs="Times New Roman"/>
          <w:sz w:val="18"/>
          <w:szCs w:val="18"/>
        </w:rPr>
      </w:pPr>
    </w:p>
    <w:p w14:paraId="1AE752BB" w14:textId="2788724E" w:rsidR="008406A2" w:rsidRPr="00CE21EA" w:rsidRDefault="008406A2" w:rsidP="00190DED">
      <w:pPr>
        <w:jc w:val="both"/>
        <w:rPr>
          <w:rFonts w:ascii="Avenir Next" w:hAnsi="Avenir Next" w:cs="Times New Roman"/>
          <w:sz w:val="18"/>
          <w:szCs w:val="18"/>
        </w:rPr>
      </w:pPr>
    </w:p>
    <w:p w14:paraId="3895DEBF" w14:textId="688F1901" w:rsidR="00857B46" w:rsidRPr="00CE21EA" w:rsidRDefault="00857B46" w:rsidP="00190DED">
      <w:pPr>
        <w:jc w:val="both"/>
        <w:rPr>
          <w:rFonts w:ascii="Avenir Next" w:hAnsi="Avenir Next" w:cs="Times New Roman"/>
          <w:sz w:val="18"/>
          <w:szCs w:val="18"/>
        </w:rPr>
      </w:pPr>
    </w:p>
    <w:p w14:paraId="54BF307A" w14:textId="45B38E7D" w:rsidR="00857B46" w:rsidRPr="00CE21EA" w:rsidRDefault="00857B46" w:rsidP="00190DED">
      <w:pPr>
        <w:jc w:val="both"/>
        <w:rPr>
          <w:rFonts w:ascii="Avenir Next" w:hAnsi="Avenir Next" w:cs="Times New Roman"/>
          <w:sz w:val="18"/>
          <w:szCs w:val="18"/>
        </w:rPr>
      </w:pPr>
    </w:p>
    <w:p w14:paraId="146E26E8" w14:textId="3036AB98" w:rsidR="00857B46" w:rsidRPr="00CE21EA" w:rsidRDefault="00857B46" w:rsidP="00190DED">
      <w:pPr>
        <w:jc w:val="both"/>
        <w:rPr>
          <w:rFonts w:ascii="Avenir Next" w:hAnsi="Avenir Next" w:cs="Times New Roman"/>
          <w:sz w:val="18"/>
          <w:szCs w:val="18"/>
        </w:rPr>
      </w:pPr>
    </w:p>
    <w:p w14:paraId="3C61C1C8" w14:textId="0D53EE26" w:rsidR="00CF560F" w:rsidRPr="00CE21EA" w:rsidRDefault="00CF560F" w:rsidP="00190DED">
      <w:pPr>
        <w:jc w:val="both"/>
        <w:rPr>
          <w:rFonts w:ascii="Avenir Next" w:hAnsi="Avenir Next" w:cs="Times New Roman"/>
          <w:sz w:val="18"/>
          <w:szCs w:val="18"/>
        </w:rPr>
      </w:pPr>
    </w:p>
    <w:p w14:paraId="67E3EF22" w14:textId="2E59E88F" w:rsidR="00CF560F" w:rsidRPr="00CE21EA" w:rsidRDefault="00CF560F" w:rsidP="00190DED">
      <w:pPr>
        <w:jc w:val="both"/>
        <w:rPr>
          <w:rFonts w:ascii="Avenir Next" w:hAnsi="Avenir Next" w:cs="Times New Roman"/>
          <w:sz w:val="18"/>
          <w:szCs w:val="18"/>
        </w:rPr>
      </w:pPr>
    </w:p>
    <w:p w14:paraId="4A3B7D6E" w14:textId="6747C9BD" w:rsidR="00CF560F" w:rsidRPr="00CE21EA" w:rsidRDefault="00CF560F" w:rsidP="00190DED">
      <w:pPr>
        <w:jc w:val="both"/>
        <w:rPr>
          <w:rFonts w:ascii="Avenir Next" w:hAnsi="Avenir Next" w:cs="Times New Roman"/>
          <w:sz w:val="18"/>
          <w:szCs w:val="18"/>
        </w:rPr>
      </w:pPr>
    </w:p>
    <w:p w14:paraId="48133D43" w14:textId="252218DF" w:rsidR="00CF560F" w:rsidRPr="00CE21EA" w:rsidRDefault="00CF560F" w:rsidP="00190DED">
      <w:pPr>
        <w:jc w:val="both"/>
        <w:rPr>
          <w:rFonts w:ascii="Avenir Next" w:hAnsi="Avenir Next" w:cs="Times New Roman"/>
          <w:sz w:val="18"/>
          <w:szCs w:val="18"/>
        </w:rPr>
      </w:pPr>
    </w:p>
    <w:p w14:paraId="2820DB36" w14:textId="0F8662F0" w:rsidR="00CF560F" w:rsidRPr="00CE21EA" w:rsidRDefault="00CF560F" w:rsidP="00190DED">
      <w:pPr>
        <w:jc w:val="both"/>
        <w:rPr>
          <w:rFonts w:ascii="Avenir Next" w:hAnsi="Avenir Next" w:cs="Times New Roman"/>
          <w:sz w:val="18"/>
          <w:szCs w:val="18"/>
        </w:rPr>
      </w:pPr>
    </w:p>
    <w:p w14:paraId="318E4D22" w14:textId="3B31D0D1" w:rsidR="00CF560F" w:rsidRPr="00CE21EA" w:rsidRDefault="00CF560F" w:rsidP="00190DED">
      <w:pPr>
        <w:jc w:val="both"/>
        <w:rPr>
          <w:rFonts w:ascii="Avenir Next" w:hAnsi="Avenir Next" w:cs="Times New Roman"/>
          <w:sz w:val="18"/>
          <w:szCs w:val="18"/>
        </w:rPr>
      </w:pPr>
    </w:p>
    <w:p w14:paraId="0124B600" w14:textId="7866C9D4" w:rsidR="00CF560F" w:rsidRPr="00CE21EA" w:rsidRDefault="00CF560F" w:rsidP="00190DED">
      <w:pPr>
        <w:jc w:val="both"/>
        <w:rPr>
          <w:rFonts w:ascii="Avenir Next" w:hAnsi="Avenir Next" w:cs="Times New Roman"/>
          <w:sz w:val="18"/>
          <w:szCs w:val="18"/>
        </w:rPr>
      </w:pPr>
    </w:p>
    <w:p w14:paraId="1A59D430" w14:textId="12D7B374" w:rsidR="00CF560F" w:rsidRPr="00CE21EA" w:rsidRDefault="00CF560F" w:rsidP="00190DED">
      <w:pPr>
        <w:jc w:val="both"/>
        <w:rPr>
          <w:rFonts w:ascii="Avenir Next" w:hAnsi="Avenir Next" w:cs="Times New Roman"/>
          <w:sz w:val="18"/>
          <w:szCs w:val="18"/>
        </w:rPr>
      </w:pPr>
    </w:p>
    <w:p w14:paraId="780C3351" w14:textId="77777777" w:rsidR="00435E7F" w:rsidRPr="00CE21EA" w:rsidRDefault="00435E7F" w:rsidP="00190DED">
      <w:pPr>
        <w:jc w:val="both"/>
        <w:rPr>
          <w:rFonts w:ascii="Avenir Next" w:hAnsi="Avenir Next" w:cs="Times New Roman"/>
          <w:sz w:val="18"/>
          <w:szCs w:val="18"/>
        </w:rPr>
      </w:pPr>
    </w:p>
    <w:p w14:paraId="14B75A63" w14:textId="188C46D2" w:rsidR="00CF560F" w:rsidRDefault="00CF560F" w:rsidP="00190DED">
      <w:pPr>
        <w:jc w:val="both"/>
        <w:rPr>
          <w:rFonts w:ascii="Avenir Next" w:hAnsi="Avenir Next" w:cs="Times New Roman"/>
          <w:sz w:val="18"/>
          <w:szCs w:val="18"/>
        </w:rPr>
      </w:pPr>
    </w:p>
    <w:p w14:paraId="58859F02" w14:textId="77777777" w:rsidR="009271A5" w:rsidRPr="00CE21EA" w:rsidRDefault="009271A5" w:rsidP="00190DED">
      <w:pPr>
        <w:jc w:val="both"/>
        <w:rPr>
          <w:rFonts w:ascii="Avenir Next" w:hAnsi="Avenir Next" w:cs="Times New Roman"/>
          <w:sz w:val="18"/>
          <w:szCs w:val="18"/>
        </w:rPr>
      </w:pPr>
    </w:p>
    <w:p w14:paraId="2A513ACA" w14:textId="77777777" w:rsidR="00560A63" w:rsidRPr="00CE21EA" w:rsidRDefault="00560A63" w:rsidP="00190DED">
      <w:pPr>
        <w:jc w:val="both"/>
        <w:rPr>
          <w:rFonts w:ascii="Avenir Next" w:hAnsi="Avenir Next" w:cs="Times New Roman"/>
          <w:sz w:val="18"/>
          <w:szCs w:val="18"/>
        </w:rPr>
      </w:pPr>
    </w:p>
    <w:p w14:paraId="547728B9" w14:textId="7A621486" w:rsidR="00CF560F" w:rsidRPr="00CE21EA" w:rsidRDefault="00CF560F" w:rsidP="00190DED">
      <w:pPr>
        <w:jc w:val="both"/>
        <w:rPr>
          <w:rFonts w:ascii="Avenir Next" w:hAnsi="Avenir Next" w:cs="Times New Roman"/>
          <w:sz w:val="18"/>
          <w:szCs w:val="18"/>
        </w:rPr>
      </w:pPr>
    </w:p>
    <w:p w14:paraId="1FBA5849" w14:textId="4AD9A8E2" w:rsidR="00CF560F" w:rsidRPr="00CE21EA" w:rsidRDefault="00CF560F" w:rsidP="00190DED">
      <w:pPr>
        <w:jc w:val="both"/>
        <w:rPr>
          <w:rFonts w:ascii="Avenir Next" w:hAnsi="Avenir Next" w:cs="Times New Roman"/>
          <w:sz w:val="18"/>
          <w:szCs w:val="18"/>
        </w:rPr>
      </w:pPr>
    </w:p>
    <w:p w14:paraId="386B7049" w14:textId="77777777" w:rsidR="00CF560F" w:rsidRPr="00CE21EA" w:rsidRDefault="00CF560F" w:rsidP="00CF560F">
      <w:pPr>
        <w:spacing w:line="276" w:lineRule="auto"/>
        <w:jc w:val="both"/>
        <w:rPr>
          <w:rFonts w:ascii="Avenir Next" w:eastAsia="Times New Roman" w:hAnsi="Avenir Next" w:cs="Arial"/>
          <w:b/>
          <w:sz w:val="18"/>
          <w:szCs w:val="18"/>
        </w:rPr>
      </w:pPr>
      <w:r w:rsidRPr="00CE21EA">
        <w:rPr>
          <w:rFonts w:ascii="Avenir Next" w:hAnsi="Avenir Next"/>
          <w:b/>
          <w:sz w:val="18"/>
          <w:szCs w:val="18"/>
        </w:rPr>
        <w:lastRenderedPageBreak/>
        <w:t>ZENITH: HORA DE ALCANZAR LAS ESTRELLAS.</w:t>
      </w:r>
    </w:p>
    <w:p w14:paraId="0CBF6276" w14:textId="77777777" w:rsidR="00CF560F" w:rsidRPr="00CE21EA" w:rsidRDefault="00CF560F" w:rsidP="00CF560F">
      <w:pPr>
        <w:spacing w:line="276" w:lineRule="auto"/>
        <w:jc w:val="both"/>
        <w:rPr>
          <w:rFonts w:ascii="Avenir Next" w:eastAsia="Times New Roman" w:hAnsi="Avenir Next" w:cs="Arial"/>
          <w:b/>
          <w:sz w:val="18"/>
          <w:szCs w:val="18"/>
        </w:rPr>
      </w:pPr>
    </w:p>
    <w:p w14:paraId="2530F65A" w14:textId="77777777" w:rsidR="00CF560F" w:rsidRPr="00CE21EA" w:rsidRDefault="00CF560F" w:rsidP="00CF560F">
      <w:pPr>
        <w:jc w:val="both"/>
        <w:rPr>
          <w:rFonts w:ascii="Avenir Next" w:eastAsia="Times New Roman" w:hAnsi="Avenir Next" w:cs="Arial"/>
          <w:sz w:val="18"/>
          <w:szCs w:val="18"/>
        </w:rPr>
      </w:pPr>
      <w:r w:rsidRPr="00CE21EA">
        <w:rPr>
          <w:rFonts w:ascii="Avenir Next" w:hAnsi="Avenir Next"/>
          <w:sz w:val="18"/>
          <w:szCs w:val="18"/>
        </w:rPr>
        <w:t xml:space="preserve">Zenith existe para inspirar a las personas a perseguir sus sueños y convertirlos en realidad contra todo pronóstico. Desde su fundación en 1865, Zenith se ha convertido en la primera manufactura relojera en el sentido moderno de la palabra, y sus relojes han acompañado a figuras extraordinarias que soñaron a lo grande y lucharon para lograr lo imposible, desde el vuelo histórico de Louis </w:t>
      </w:r>
      <w:proofErr w:type="spellStart"/>
      <w:r w:rsidRPr="00CE21EA">
        <w:rPr>
          <w:rFonts w:ascii="Avenir Next" w:hAnsi="Avenir Next"/>
          <w:sz w:val="18"/>
          <w:szCs w:val="18"/>
        </w:rPr>
        <w:t>Blériot</w:t>
      </w:r>
      <w:proofErr w:type="spellEnd"/>
      <w:r w:rsidRPr="00CE21EA">
        <w:rPr>
          <w:rFonts w:ascii="Avenir Next" w:hAnsi="Avenir Next"/>
          <w:sz w:val="18"/>
          <w:szCs w:val="18"/>
        </w:rPr>
        <w:t xml:space="preserve"> a través del Canal de la Mancha hasta el salto libre estratosférico de </w:t>
      </w:r>
      <w:proofErr w:type="spellStart"/>
      <w:r w:rsidRPr="00CE21EA">
        <w:rPr>
          <w:rFonts w:ascii="Avenir Next" w:hAnsi="Avenir Next"/>
          <w:sz w:val="18"/>
          <w:szCs w:val="18"/>
        </w:rPr>
        <w:t>Felix</w:t>
      </w:r>
      <w:proofErr w:type="spellEnd"/>
      <w:r w:rsidRPr="00CE21EA">
        <w:rPr>
          <w:rFonts w:ascii="Avenir Next" w:hAnsi="Avenir Next"/>
          <w:sz w:val="18"/>
          <w:szCs w:val="18"/>
        </w:rPr>
        <w:t xml:space="preserve"> </w:t>
      </w:r>
      <w:proofErr w:type="spellStart"/>
      <w:r w:rsidRPr="00CE21EA">
        <w:rPr>
          <w:rFonts w:ascii="Avenir Next" w:hAnsi="Avenir Next"/>
          <w:sz w:val="18"/>
          <w:szCs w:val="18"/>
        </w:rPr>
        <w:t>Baumgartner</w:t>
      </w:r>
      <w:proofErr w:type="spellEnd"/>
      <w:r w:rsidRPr="00CE21EA">
        <w:rPr>
          <w:rFonts w:ascii="Avenir Next" w:hAnsi="Avenir Next"/>
          <w:sz w:val="18"/>
          <w:szCs w:val="18"/>
        </w:rPr>
        <w:t xml:space="preserve"> que batió todos los récords. </w:t>
      </w:r>
    </w:p>
    <w:p w14:paraId="626797FC" w14:textId="77777777" w:rsidR="00CF560F" w:rsidRPr="00CE21EA" w:rsidRDefault="00CF560F" w:rsidP="00CF560F">
      <w:pPr>
        <w:jc w:val="both"/>
        <w:rPr>
          <w:rFonts w:ascii="Avenir Next" w:eastAsia="Times New Roman" w:hAnsi="Avenir Next" w:cs="Arial"/>
          <w:sz w:val="18"/>
          <w:szCs w:val="18"/>
        </w:rPr>
      </w:pPr>
    </w:p>
    <w:p w14:paraId="3B3E8EB7" w14:textId="77777777" w:rsidR="00CF560F" w:rsidRPr="00CE21EA" w:rsidRDefault="00CF560F" w:rsidP="00CF560F">
      <w:pPr>
        <w:jc w:val="both"/>
        <w:rPr>
          <w:rFonts w:ascii="Avenir Next" w:eastAsia="Times New Roman" w:hAnsi="Avenir Next" w:cs="Arial"/>
          <w:sz w:val="18"/>
          <w:szCs w:val="18"/>
        </w:rPr>
      </w:pPr>
      <w:r w:rsidRPr="00CE21EA">
        <w:rPr>
          <w:rFonts w:ascii="Avenir Next" w:hAnsi="Avenir Next"/>
          <w:sz w:val="18"/>
          <w:szCs w:val="18"/>
        </w:rPr>
        <w:t>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Ha llegado el momento de alcanzar su estrella.</w:t>
      </w:r>
    </w:p>
    <w:p w14:paraId="69F5D918" w14:textId="77777777" w:rsidR="00CF560F" w:rsidRPr="00CE21EA" w:rsidRDefault="00CF560F" w:rsidP="00CF560F">
      <w:pPr>
        <w:jc w:val="both"/>
        <w:rPr>
          <w:rFonts w:ascii="Avenir Next" w:eastAsia="Times New Roman" w:hAnsi="Avenir Next" w:cs="Arial"/>
          <w:sz w:val="22"/>
          <w:szCs w:val="22"/>
        </w:rPr>
      </w:pPr>
    </w:p>
    <w:p w14:paraId="1B30C111" w14:textId="77777777" w:rsidR="00CF560F" w:rsidRPr="00CE21EA" w:rsidRDefault="00CF560F" w:rsidP="00190DED">
      <w:pPr>
        <w:jc w:val="both"/>
        <w:rPr>
          <w:rFonts w:ascii="Avenir Next" w:hAnsi="Avenir Next" w:cs="Times New Roman"/>
          <w:sz w:val="18"/>
          <w:szCs w:val="18"/>
        </w:rPr>
      </w:pPr>
    </w:p>
    <w:p w14:paraId="3F0EC477" w14:textId="3493E817" w:rsidR="00857B46" w:rsidRPr="00CE21EA" w:rsidRDefault="00857B46" w:rsidP="00190DED">
      <w:pPr>
        <w:jc w:val="both"/>
        <w:rPr>
          <w:rFonts w:ascii="Avenir Next" w:hAnsi="Avenir Next" w:cs="Times New Roman"/>
          <w:sz w:val="18"/>
          <w:szCs w:val="18"/>
        </w:rPr>
      </w:pPr>
    </w:p>
    <w:p w14:paraId="293B928C" w14:textId="6D71D6AE" w:rsidR="00857B46" w:rsidRPr="00CE21EA" w:rsidRDefault="00857B46" w:rsidP="00190DED">
      <w:pPr>
        <w:jc w:val="both"/>
        <w:rPr>
          <w:rFonts w:ascii="Avenir Next" w:hAnsi="Avenir Next" w:cs="Times New Roman"/>
          <w:sz w:val="18"/>
          <w:szCs w:val="18"/>
        </w:rPr>
      </w:pPr>
    </w:p>
    <w:p w14:paraId="4345B88A" w14:textId="64C54C30" w:rsidR="00857B46" w:rsidRPr="00CE21EA" w:rsidRDefault="00857B46" w:rsidP="00190DED">
      <w:pPr>
        <w:jc w:val="both"/>
        <w:rPr>
          <w:rFonts w:ascii="Avenir Next" w:hAnsi="Avenir Next" w:cs="Times New Roman"/>
          <w:sz w:val="18"/>
          <w:szCs w:val="18"/>
        </w:rPr>
      </w:pPr>
    </w:p>
    <w:p w14:paraId="0008C746" w14:textId="6BD1893E" w:rsidR="00857B46" w:rsidRPr="00CE21EA" w:rsidRDefault="00857B46" w:rsidP="00190DED">
      <w:pPr>
        <w:jc w:val="both"/>
        <w:rPr>
          <w:rFonts w:ascii="Avenir Next" w:hAnsi="Avenir Next" w:cs="Times New Roman"/>
          <w:sz w:val="18"/>
          <w:szCs w:val="18"/>
        </w:rPr>
      </w:pPr>
    </w:p>
    <w:p w14:paraId="608AEDEF" w14:textId="4CD6CC5B" w:rsidR="00857B46" w:rsidRPr="00CE21EA" w:rsidRDefault="00857B46" w:rsidP="00190DED">
      <w:pPr>
        <w:jc w:val="both"/>
        <w:rPr>
          <w:rFonts w:ascii="Avenir Next" w:hAnsi="Avenir Next" w:cs="Times New Roman"/>
          <w:sz w:val="18"/>
          <w:szCs w:val="18"/>
        </w:rPr>
      </w:pPr>
    </w:p>
    <w:p w14:paraId="676A936D" w14:textId="7EA6AAAA" w:rsidR="00857B46" w:rsidRPr="00CE21EA" w:rsidRDefault="00857B46" w:rsidP="00190DED">
      <w:pPr>
        <w:jc w:val="both"/>
        <w:rPr>
          <w:rFonts w:ascii="Avenir Next" w:hAnsi="Avenir Next" w:cs="Times New Roman"/>
          <w:sz w:val="18"/>
          <w:szCs w:val="18"/>
        </w:rPr>
      </w:pPr>
    </w:p>
    <w:p w14:paraId="5AEE3571" w14:textId="5DDF207B" w:rsidR="00857B46" w:rsidRPr="00CE21EA" w:rsidRDefault="00857B46" w:rsidP="00190DED">
      <w:pPr>
        <w:jc w:val="both"/>
        <w:rPr>
          <w:rFonts w:ascii="Avenir Next" w:hAnsi="Avenir Next" w:cs="Times New Roman"/>
          <w:sz w:val="18"/>
          <w:szCs w:val="18"/>
        </w:rPr>
      </w:pPr>
    </w:p>
    <w:p w14:paraId="53EDFEC7" w14:textId="6C53F367" w:rsidR="00CF560F" w:rsidRPr="00CE21EA" w:rsidRDefault="00CF560F" w:rsidP="00190DED">
      <w:pPr>
        <w:jc w:val="both"/>
        <w:rPr>
          <w:rFonts w:ascii="Avenir Next" w:hAnsi="Avenir Next" w:cs="Times New Roman"/>
          <w:sz w:val="18"/>
          <w:szCs w:val="18"/>
        </w:rPr>
      </w:pPr>
    </w:p>
    <w:p w14:paraId="6BADB1D3" w14:textId="018BCBCA" w:rsidR="00CF560F" w:rsidRPr="00CE21EA" w:rsidRDefault="00CF560F" w:rsidP="00190DED">
      <w:pPr>
        <w:jc w:val="both"/>
        <w:rPr>
          <w:rFonts w:ascii="Avenir Next" w:hAnsi="Avenir Next" w:cs="Times New Roman"/>
          <w:sz w:val="18"/>
          <w:szCs w:val="18"/>
        </w:rPr>
      </w:pPr>
    </w:p>
    <w:p w14:paraId="6B15B9A8" w14:textId="3B80417E" w:rsidR="00CF560F" w:rsidRPr="00CE21EA" w:rsidRDefault="00CF560F" w:rsidP="00190DED">
      <w:pPr>
        <w:jc w:val="both"/>
        <w:rPr>
          <w:rFonts w:ascii="Avenir Next" w:hAnsi="Avenir Next" w:cs="Times New Roman"/>
          <w:sz w:val="18"/>
          <w:szCs w:val="18"/>
        </w:rPr>
      </w:pPr>
    </w:p>
    <w:p w14:paraId="425D4D86" w14:textId="1073E3DA" w:rsidR="00CF560F" w:rsidRPr="00CE21EA" w:rsidRDefault="00CF560F" w:rsidP="00190DED">
      <w:pPr>
        <w:jc w:val="both"/>
        <w:rPr>
          <w:rFonts w:ascii="Avenir Next" w:hAnsi="Avenir Next" w:cs="Times New Roman"/>
          <w:sz w:val="18"/>
          <w:szCs w:val="18"/>
        </w:rPr>
      </w:pPr>
    </w:p>
    <w:p w14:paraId="48F8D153" w14:textId="0C8340A9" w:rsidR="00CF560F" w:rsidRPr="00CE21EA" w:rsidRDefault="00CF560F" w:rsidP="00190DED">
      <w:pPr>
        <w:jc w:val="both"/>
        <w:rPr>
          <w:rFonts w:ascii="Avenir Next" w:hAnsi="Avenir Next" w:cs="Times New Roman"/>
          <w:sz w:val="18"/>
          <w:szCs w:val="18"/>
        </w:rPr>
      </w:pPr>
    </w:p>
    <w:p w14:paraId="22544F44" w14:textId="17719C34" w:rsidR="00CF560F" w:rsidRPr="00CE21EA" w:rsidRDefault="00CF560F" w:rsidP="00190DED">
      <w:pPr>
        <w:jc w:val="both"/>
        <w:rPr>
          <w:rFonts w:ascii="Avenir Next" w:hAnsi="Avenir Next" w:cs="Times New Roman"/>
          <w:sz w:val="18"/>
          <w:szCs w:val="18"/>
        </w:rPr>
      </w:pPr>
    </w:p>
    <w:p w14:paraId="7C8228B7" w14:textId="2860ECAB" w:rsidR="00CF560F" w:rsidRPr="00CE21EA" w:rsidRDefault="00CF560F" w:rsidP="00190DED">
      <w:pPr>
        <w:jc w:val="both"/>
        <w:rPr>
          <w:rFonts w:ascii="Avenir Next" w:hAnsi="Avenir Next" w:cs="Times New Roman"/>
          <w:sz w:val="18"/>
          <w:szCs w:val="18"/>
        </w:rPr>
      </w:pPr>
      <w:bookmarkStart w:id="0" w:name="_GoBack"/>
      <w:bookmarkEnd w:id="0"/>
    </w:p>
    <w:p w14:paraId="29641D16" w14:textId="00BC9AFB" w:rsidR="00CF560F" w:rsidRPr="00CE21EA" w:rsidRDefault="00CF560F" w:rsidP="00190DED">
      <w:pPr>
        <w:jc w:val="both"/>
        <w:rPr>
          <w:rFonts w:ascii="Avenir Next" w:hAnsi="Avenir Next" w:cs="Times New Roman"/>
          <w:sz w:val="18"/>
          <w:szCs w:val="18"/>
        </w:rPr>
      </w:pPr>
    </w:p>
    <w:p w14:paraId="5E923552" w14:textId="2A147617" w:rsidR="00CF560F" w:rsidRPr="00CE21EA" w:rsidRDefault="00CF560F" w:rsidP="00190DED">
      <w:pPr>
        <w:jc w:val="both"/>
        <w:rPr>
          <w:rFonts w:ascii="Avenir Next" w:hAnsi="Avenir Next" w:cs="Times New Roman"/>
          <w:sz w:val="18"/>
          <w:szCs w:val="18"/>
        </w:rPr>
      </w:pPr>
    </w:p>
    <w:p w14:paraId="6E03137D" w14:textId="070F9907" w:rsidR="00CF560F" w:rsidRPr="00CE21EA" w:rsidRDefault="00CF560F" w:rsidP="00190DED">
      <w:pPr>
        <w:jc w:val="both"/>
        <w:rPr>
          <w:rFonts w:ascii="Avenir Next" w:hAnsi="Avenir Next" w:cs="Times New Roman"/>
          <w:sz w:val="18"/>
          <w:szCs w:val="18"/>
        </w:rPr>
      </w:pPr>
    </w:p>
    <w:p w14:paraId="7C6E4355" w14:textId="2D1A1103" w:rsidR="00CF560F" w:rsidRPr="00CE21EA" w:rsidRDefault="00CF560F" w:rsidP="00190DED">
      <w:pPr>
        <w:jc w:val="both"/>
        <w:rPr>
          <w:rFonts w:ascii="Avenir Next" w:hAnsi="Avenir Next" w:cs="Times New Roman"/>
          <w:sz w:val="18"/>
          <w:szCs w:val="18"/>
        </w:rPr>
      </w:pPr>
    </w:p>
    <w:p w14:paraId="5C0B60C0" w14:textId="3B8B9C96" w:rsidR="00CF560F" w:rsidRPr="00CE21EA" w:rsidRDefault="00CF560F" w:rsidP="00190DED">
      <w:pPr>
        <w:jc w:val="both"/>
        <w:rPr>
          <w:rFonts w:ascii="Avenir Next" w:hAnsi="Avenir Next" w:cs="Times New Roman"/>
          <w:sz w:val="18"/>
          <w:szCs w:val="18"/>
        </w:rPr>
      </w:pPr>
    </w:p>
    <w:p w14:paraId="7603037A" w14:textId="6CA9491E" w:rsidR="00CF560F" w:rsidRPr="00CE21EA" w:rsidRDefault="00CF560F" w:rsidP="00190DED">
      <w:pPr>
        <w:jc w:val="both"/>
        <w:rPr>
          <w:rFonts w:ascii="Avenir Next" w:hAnsi="Avenir Next" w:cs="Times New Roman"/>
          <w:sz w:val="18"/>
          <w:szCs w:val="18"/>
        </w:rPr>
      </w:pPr>
    </w:p>
    <w:p w14:paraId="3566F005" w14:textId="4912CDDA" w:rsidR="00CF560F" w:rsidRPr="00CE21EA" w:rsidRDefault="00CF560F" w:rsidP="00190DED">
      <w:pPr>
        <w:jc w:val="both"/>
        <w:rPr>
          <w:rFonts w:ascii="Avenir Next" w:hAnsi="Avenir Next" w:cs="Times New Roman"/>
          <w:sz w:val="18"/>
          <w:szCs w:val="18"/>
        </w:rPr>
      </w:pPr>
    </w:p>
    <w:p w14:paraId="716FFC75" w14:textId="703513A8" w:rsidR="00CF560F" w:rsidRPr="00CE21EA" w:rsidRDefault="00CF560F" w:rsidP="00190DED">
      <w:pPr>
        <w:jc w:val="both"/>
        <w:rPr>
          <w:rFonts w:ascii="Avenir Next" w:hAnsi="Avenir Next" w:cs="Times New Roman"/>
          <w:sz w:val="18"/>
          <w:szCs w:val="18"/>
        </w:rPr>
      </w:pPr>
    </w:p>
    <w:p w14:paraId="3F3FF750" w14:textId="13FF8577" w:rsidR="00CF560F" w:rsidRPr="00CE21EA" w:rsidRDefault="00CF560F" w:rsidP="00190DED">
      <w:pPr>
        <w:jc w:val="both"/>
        <w:rPr>
          <w:rFonts w:ascii="Avenir Next" w:hAnsi="Avenir Next" w:cs="Times New Roman"/>
          <w:sz w:val="18"/>
          <w:szCs w:val="18"/>
        </w:rPr>
      </w:pPr>
    </w:p>
    <w:p w14:paraId="4CAFF20F" w14:textId="14E5FC66" w:rsidR="00CF560F" w:rsidRPr="00CE21EA" w:rsidRDefault="00CF560F" w:rsidP="00190DED">
      <w:pPr>
        <w:jc w:val="both"/>
        <w:rPr>
          <w:rFonts w:ascii="Avenir Next" w:hAnsi="Avenir Next" w:cs="Times New Roman"/>
          <w:sz w:val="18"/>
          <w:szCs w:val="18"/>
        </w:rPr>
      </w:pPr>
    </w:p>
    <w:p w14:paraId="56108B74" w14:textId="53C2B609" w:rsidR="00CF560F" w:rsidRPr="00CE21EA" w:rsidRDefault="00CF560F" w:rsidP="00190DED">
      <w:pPr>
        <w:jc w:val="both"/>
        <w:rPr>
          <w:rFonts w:ascii="Avenir Next" w:hAnsi="Avenir Next" w:cs="Times New Roman"/>
          <w:sz w:val="18"/>
          <w:szCs w:val="18"/>
        </w:rPr>
      </w:pPr>
    </w:p>
    <w:p w14:paraId="6FCE4963" w14:textId="57E25E2A" w:rsidR="00CF560F" w:rsidRPr="00CE21EA" w:rsidRDefault="00CF560F" w:rsidP="00190DED">
      <w:pPr>
        <w:jc w:val="both"/>
        <w:rPr>
          <w:rFonts w:ascii="Avenir Next" w:hAnsi="Avenir Next" w:cs="Times New Roman"/>
          <w:sz w:val="18"/>
          <w:szCs w:val="18"/>
        </w:rPr>
      </w:pPr>
    </w:p>
    <w:p w14:paraId="22434D32" w14:textId="0AF54C23" w:rsidR="00CF560F" w:rsidRPr="00CE21EA" w:rsidRDefault="00CF560F" w:rsidP="00190DED">
      <w:pPr>
        <w:jc w:val="both"/>
        <w:rPr>
          <w:rFonts w:ascii="Avenir Next" w:hAnsi="Avenir Next" w:cs="Times New Roman"/>
          <w:sz w:val="18"/>
          <w:szCs w:val="18"/>
        </w:rPr>
      </w:pPr>
    </w:p>
    <w:p w14:paraId="7F768D70" w14:textId="021D00C5" w:rsidR="00CF560F" w:rsidRPr="00CE21EA" w:rsidRDefault="00CF560F" w:rsidP="00190DED">
      <w:pPr>
        <w:jc w:val="both"/>
        <w:rPr>
          <w:rFonts w:ascii="Avenir Next" w:hAnsi="Avenir Next" w:cs="Times New Roman"/>
          <w:sz w:val="18"/>
          <w:szCs w:val="18"/>
        </w:rPr>
      </w:pPr>
    </w:p>
    <w:p w14:paraId="2DB33B71" w14:textId="4FFC2888" w:rsidR="00CF560F" w:rsidRPr="00CE21EA" w:rsidRDefault="00CF560F" w:rsidP="00190DED">
      <w:pPr>
        <w:jc w:val="both"/>
        <w:rPr>
          <w:rFonts w:ascii="Avenir Next" w:hAnsi="Avenir Next" w:cs="Times New Roman"/>
          <w:sz w:val="18"/>
          <w:szCs w:val="18"/>
        </w:rPr>
      </w:pPr>
    </w:p>
    <w:p w14:paraId="17ABC904" w14:textId="344B6F9A" w:rsidR="00CF560F" w:rsidRPr="00CE21EA" w:rsidRDefault="00CF560F" w:rsidP="00190DED">
      <w:pPr>
        <w:jc w:val="both"/>
        <w:rPr>
          <w:rFonts w:ascii="Avenir Next" w:hAnsi="Avenir Next" w:cs="Times New Roman"/>
          <w:sz w:val="18"/>
          <w:szCs w:val="18"/>
        </w:rPr>
      </w:pPr>
    </w:p>
    <w:p w14:paraId="4D0535EB" w14:textId="77777777" w:rsidR="00CF560F" w:rsidRPr="00CE21EA" w:rsidRDefault="00CF560F" w:rsidP="00190DED">
      <w:pPr>
        <w:jc w:val="both"/>
        <w:rPr>
          <w:rFonts w:ascii="Avenir Next" w:hAnsi="Avenir Next" w:cs="Times New Roman"/>
          <w:sz w:val="18"/>
          <w:szCs w:val="18"/>
        </w:rPr>
      </w:pPr>
    </w:p>
    <w:p w14:paraId="2DC24289" w14:textId="107F55EB" w:rsidR="00857B46" w:rsidRPr="00CE21EA" w:rsidRDefault="00857B46" w:rsidP="00190DED">
      <w:pPr>
        <w:jc w:val="both"/>
        <w:rPr>
          <w:rFonts w:ascii="Avenir Next" w:hAnsi="Avenir Next" w:cs="Times New Roman"/>
          <w:sz w:val="18"/>
          <w:szCs w:val="18"/>
        </w:rPr>
      </w:pPr>
    </w:p>
    <w:p w14:paraId="000FCB2D" w14:textId="78F236AA" w:rsidR="00857B46" w:rsidRPr="00CE21EA" w:rsidRDefault="00857B46" w:rsidP="00190DED">
      <w:pPr>
        <w:jc w:val="both"/>
        <w:rPr>
          <w:rFonts w:ascii="Avenir Next" w:hAnsi="Avenir Next" w:cs="Times New Roman"/>
          <w:sz w:val="18"/>
          <w:szCs w:val="18"/>
        </w:rPr>
      </w:pPr>
    </w:p>
    <w:p w14:paraId="7F28163C" w14:textId="019C19A5" w:rsidR="00857B46" w:rsidRPr="00CE21EA" w:rsidRDefault="00857B46" w:rsidP="00190DED">
      <w:pPr>
        <w:jc w:val="both"/>
        <w:rPr>
          <w:rFonts w:ascii="Avenir Next" w:hAnsi="Avenir Next" w:cs="Times New Roman"/>
          <w:sz w:val="18"/>
          <w:szCs w:val="18"/>
        </w:rPr>
      </w:pPr>
    </w:p>
    <w:p w14:paraId="5C906F89" w14:textId="2C13B523" w:rsidR="00C27B7C" w:rsidRPr="00CE21EA" w:rsidRDefault="00C27B7C" w:rsidP="00190DED">
      <w:pPr>
        <w:jc w:val="both"/>
        <w:rPr>
          <w:rFonts w:ascii="Avenir Next" w:hAnsi="Avenir Next" w:cs="Times New Roman"/>
          <w:sz w:val="18"/>
          <w:szCs w:val="18"/>
        </w:rPr>
      </w:pPr>
    </w:p>
    <w:p w14:paraId="05503478" w14:textId="77777777" w:rsidR="00435E7F" w:rsidRPr="00CE21EA" w:rsidRDefault="00435E7F" w:rsidP="00857B46">
      <w:pPr>
        <w:jc w:val="both"/>
        <w:rPr>
          <w:rFonts w:ascii="Avenir Next" w:hAnsi="Avenir Next" w:cstheme="majorHAnsi"/>
          <w:b/>
          <w:szCs w:val="20"/>
        </w:rPr>
      </w:pPr>
    </w:p>
    <w:p w14:paraId="7E75E349" w14:textId="4EDCBD1F" w:rsidR="00857B46" w:rsidRPr="00CE21EA" w:rsidRDefault="00857B46" w:rsidP="00857B46">
      <w:pPr>
        <w:jc w:val="both"/>
        <w:rPr>
          <w:rFonts w:ascii="Avenir Next" w:hAnsi="Avenir Next" w:cs="OpenSans-CondensedLight"/>
          <w:sz w:val="18"/>
          <w:szCs w:val="18"/>
        </w:rPr>
      </w:pPr>
      <w:r w:rsidRPr="00CE21EA">
        <w:rPr>
          <w:rFonts w:ascii="Avenir Next" w:hAnsi="Avenir Next"/>
          <w:b/>
          <w:szCs w:val="20"/>
        </w:rPr>
        <w:t xml:space="preserve">DEFY 21 ULTRAVIOLET </w:t>
      </w:r>
      <w:r w:rsidRPr="00CE21EA">
        <w:rPr>
          <w:rFonts w:ascii="Avenir Next" w:hAnsi="Avenir Next"/>
          <w:sz w:val="18"/>
          <w:szCs w:val="18"/>
        </w:rPr>
        <w:t>Referencia: 97.9001.9004/</w:t>
      </w:r>
      <w:proofErr w:type="gramStart"/>
      <w:r w:rsidRPr="00CE21EA">
        <w:rPr>
          <w:rFonts w:ascii="Avenir Next" w:hAnsi="Avenir Next"/>
          <w:sz w:val="18"/>
          <w:szCs w:val="18"/>
        </w:rPr>
        <w:t>80.R</w:t>
      </w:r>
      <w:proofErr w:type="gramEnd"/>
      <w:r w:rsidRPr="00CE21EA">
        <w:rPr>
          <w:rFonts w:ascii="Avenir Next" w:hAnsi="Avenir Next"/>
          <w:sz w:val="18"/>
          <w:szCs w:val="18"/>
        </w:rPr>
        <w:t>922</w:t>
      </w:r>
    </w:p>
    <w:p w14:paraId="0B9D633B" w14:textId="619BACBD" w:rsidR="00857B46" w:rsidRPr="00CE21EA" w:rsidRDefault="00857B46" w:rsidP="00857B46">
      <w:pPr>
        <w:jc w:val="both"/>
        <w:rPr>
          <w:rFonts w:ascii="Avenir Next" w:hAnsi="Avenir Next" w:cs="Arial"/>
          <w:color w:val="000000" w:themeColor="text1"/>
          <w:sz w:val="10"/>
        </w:rPr>
      </w:pPr>
    </w:p>
    <w:p w14:paraId="3DD5E0BA" w14:textId="1931FCD3" w:rsidR="003526C0" w:rsidRPr="00CE21EA" w:rsidRDefault="008B46D5" w:rsidP="00857B46">
      <w:pPr>
        <w:autoSpaceDE w:val="0"/>
        <w:autoSpaceDN w:val="0"/>
        <w:adjustRightInd w:val="0"/>
        <w:spacing w:line="276" w:lineRule="auto"/>
        <w:rPr>
          <w:rFonts w:ascii="Avenir Next" w:hAnsi="Avenir Next" w:cs="OpenSans-CondensedLight"/>
          <w:sz w:val="18"/>
          <w:szCs w:val="18"/>
        </w:rPr>
      </w:pPr>
      <w:bookmarkStart w:id="1" w:name="_Hlk29295538"/>
      <w:r w:rsidRPr="00CE21EA">
        <w:rPr>
          <w:noProof/>
        </w:rPr>
        <w:drawing>
          <wp:anchor distT="0" distB="0" distL="114300" distR="114300" simplePos="0" relativeHeight="251658240" behindDoc="1" locked="0" layoutInCell="1" allowOverlap="1" wp14:anchorId="2D8FE13E" wp14:editId="5E2DB87E">
            <wp:simplePos x="0" y="0"/>
            <wp:positionH relativeFrom="column">
              <wp:posOffset>3924300</wp:posOffset>
            </wp:positionH>
            <wp:positionV relativeFrom="paragraph">
              <wp:posOffset>75565</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r w:rsidRPr="00CE21EA">
        <w:rPr>
          <w:rFonts w:ascii="Avenir Next" w:hAnsi="Avenir Next"/>
          <w:b/>
          <w:sz w:val="18"/>
          <w:szCs w:val="18"/>
        </w:rPr>
        <w:t>Puntos clave</w:t>
      </w:r>
      <w:r w:rsidRPr="00CE21EA">
        <w:t>:</w:t>
      </w:r>
      <w:r w:rsidRPr="00CE21EA">
        <w:rPr>
          <w:rFonts w:ascii="Avenir Next" w:hAnsi="Avenir Next"/>
          <w:sz w:val="18"/>
          <w:szCs w:val="18"/>
        </w:rPr>
        <w:t xml:space="preserve"> Movimiento cronógrafo con indicación de las centésimas de segundo en un violeta único. Frecuencia característica y exclusiva de una rotación por segundo. 1 escape para el reloj (36 000 </w:t>
      </w:r>
      <w:proofErr w:type="spellStart"/>
      <w:r w:rsidRPr="00CE21EA">
        <w:rPr>
          <w:rFonts w:ascii="Avenir Next" w:hAnsi="Avenir Next"/>
          <w:sz w:val="18"/>
          <w:szCs w:val="18"/>
        </w:rPr>
        <w:t>alt</w:t>
      </w:r>
      <w:proofErr w:type="spellEnd"/>
      <w:r w:rsidRPr="00CE21EA">
        <w:rPr>
          <w:rFonts w:ascii="Avenir Next" w:hAnsi="Avenir Next"/>
          <w:sz w:val="18"/>
          <w:szCs w:val="18"/>
        </w:rPr>
        <w:t>/h - 5 Hz); 1 escape para el cronógrafo (360 000 </w:t>
      </w:r>
      <w:proofErr w:type="spellStart"/>
      <w:r w:rsidRPr="00CE21EA">
        <w:rPr>
          <w:rFonts w:ascii="Avenir Next" w:hAnsi="Avenir Next"/>
          <w:sz w:val="18"/>
          <w:szCs w:val="18"/>
        </w:rPr>
        <w:t>alt</w:t>
      </w:r>
      <w:proofErr w:type="spellEnd"/>
      <w:r w:rsidRPr="00CE21EA">
        <w:rPr>
          <w:rFonts w:ascii="Avenir Next" w:hAnsi="Avenir Next"/>
          <w:sz w:val="18"/>
          <w:szCs w:val="18"/>
        </w:rPr>
        <w:t>/h - 50 Hz</w:t>
      </w:r>
      <w:r w:rsidR="005B7A4D" w:rsidRPr="00CE21EA">
        <w:rPr>
          <w:rFonts w:ascii="Avenir Next" w:hAnsi="Avenir Next"/>
          <w:sz w:val="18"/>
          <w:szCs w:val="18"/>
        </w:rPr>
        <w:t>). Indicador</w:t>
      </w:r>
      <w:r w:rsidRPr="00CE21EA">
        <w:rPr>
          <w:rFonts w:ascii="Avenir Next" w:hAnsi="Avenir Next"/>
          <w:sz w:val="18"/>
          <w:szCs w:val="18"/>
        </w:rPr>
        <w:t xml:space="preserve"> lineal especial de reserva de marcha. Cronómetro certificado por TIME LAB. </w:t>
      </w:r>
    </w:p>
    <w:p w14:paraId="5187A08F" w14:textId="01021335"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Movimiento</w:t>
      </w:r>
      <w:r w:rsidRPr="00CE21EA">
        <w:rPr>
          <w:rFonts w:ascii="Avenir Next" w:hAnsi="Avenir Next"/>
          <w:sz w:val="18"/>
          <w:szCs w:val="18"/>
        </w:rPr>
        <w:t>: El Primero 9004 Automático – Acabados ultravioletas</w:t>
      </w:r>
    </w:p>
    <w:p w14:paraId="5B2767F0" w14:textId="7558F4DD"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Frecuencia</w:t>
      </w:r>
      <w:r w:rsidRPr="00CE21EA">
        <w:rPr>
          <w:rFonts w:ascii="Avenir Next" w:hAnsi="Avenir Next"/>
          <w:sz w:val="18"/>
          <w:szCs w:val="18"/>
        </w:rPr>
        <w:t>: 36 000 </w:t>
      </w:r>
      <w:proofErr w:type="spellStart"/>
      <w:r w:rsidRPr="00CE21EA">
        <w:rPr>
          <w:rFonts w:ascii="Avenir Next" w:hAnsi="Avenir Next"/>
          <w:sz w:val="18"/>
          <w:szCs w:val="18"/>
        </w:rPr>
        <w:t>alt</w:t>
      </w:r>
      <w:proofErr w:type="spellEnd"/>
      <w:r w:rsidRPr="00CE21EA">
        <w:rPr>
          <w:rFonts w:ascii="Avenir Next" w:hAnsi="Avenir Next"/>
          <w:sz w:val="18"/>
          <w:szCs w:val="18"/>
        </w:rPr>
        <w:t>/h (5 Hz)</w:t>
      </w:r>
      <w:r w:rsidRPr="00CE21EA">
        <w:t xml:space="preserve"> </w:t>
      </w:r>
    </w:p>
    <w:p w14:paraId="11CB41CD" w14:textId="77777777"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Reserva de marcha</w:t>
      </w:r>
      <w:r w:rsidRPr="00CE21EA">
        <w:rPr>
          <w:rFonts w:ascii="Avenir Next" w:hAnsi="Avenir Next"/>
          <w:sz w:val="18"/>
          <w:szCs w:val="18"/>
        </w:rPr>
        <w:t>: 50 horas aproximadamente</w:t>
      </w:r>
    </w:p>
    <w:p w14:paraId="3DA80042" w14:textId="77777777"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Funciones</w:t>
      </w:r>
      <w:r w:rsidRPr="00CE21EA">
        <w:rPr>
          <w:rFonts w:ascii="Avenir Next" w:hAnsi="Avenir Next"/>
          <w:sz w:val="18"/>
          <w:szCs w:val="18"/>
        </w:rPr>
        <w:t>: Función cronógrafo con indicación de las centésimas de segundo. Indicación de reserva de marcha del cronógrafo a las 12 horas. Indicación central de horas y minutos. Segundero pequeño a las 9 horas, aguja central del cronógrafo, contador de 30 minutos a las 3 horas, contador de 60 segundos a las 6 horas</w:t>
      </w:r>
    </w:p>
    <w:p w14:paraId="711EB2F3" w14:textId="5F919165"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Precio</w:t>
      </w:r>
      <w:r w:rsidRPr="00CE21EA">
        <w:rPr>
          <w:rFonts w:ascii="Avenir Next" w:hAnsi="Avenir Next"/>
          <w:sz w:val="18"/>
          <w:szCs w:val="18"/>
        </w:rPr>
        <w:t>: 13400 CHF</w:t>
      </w:r>
    </w:p>
    <w:p w14:paraId="41C3FF5A" w14:textId="77777777"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Material</w:t>
      </w:r>
      <w:r w:rsidRPr="00CE21EA">
        <w:rPr>
          <w:rFonts w:ascii="Avenir Next" w:hAnsi="Avenir Next"/>
          <w:sz w:val="18"/>
          <w:szCs w:val="18"/>
        </w:rPr>
        <w:t xml:space="preserve">: titanio </w:t>
      </w:r>
      <w:proofErr w:type="spellStart"/>
      <w:r w:rsidRPr="00CE21EA">
        <w:rPr>
          <w:rFonts w:ascii="Avenir Next" w:hAnsi="Avenir Next"/>
          <w:sz w:val="18"/>
          <w:szCs w:val="18"/>
        </w:rPr>
        <w:t>microgranallado</w:t>
      </w:r>
      <w:proofErr w:type="spellEnd"/>
    </w:p>
    <w:p w14:paraId="1727E8E7" w14:textId="77777777"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Estanqueidad</w:t>
      </w:r>
      <w:r w:rsidRPr="00CE21EA">
        <w:rPr>
          <w:rFonts w:ascii="Avenir Next" w:hAnsi="Avenir Next"/>
          <w:sz w:val="18"/>
          <w:szCs w:val="18"/>
        </w:rPr>
        <w:t>: 10 ATM</w:t>
      </w:r>
    </w:p>
    <w:p w14:paraId="711EAB26" w14:textId="5D1B463A"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Esfera</w:t>
      </w:r>
      <w:r w:rsidRPr="00CE21EA">
        <w:rPr>
          <w:rFonts w:ascii="Avenir Next" w:hAnsi="Avenir Next"/>
          <w:sz w:val="18"/>
          <w:szCs w:val="18"/>
        </w:rPr>
        <w:t>: esfera abierta especial con cronógrafo cerrado gris</w:t>
      </w:r>
    </w:p>
    <w:p w14:paraId="4098CAB7" w14:textId="20080F1D"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Índices</w:t>
      </w:r>
      <w:r w:rsidRPr="00CE21EA">
        <w:rPr>
          <w:rFonts w:ascii="Avenir Next" w:hAnsi="Avenir Next"/>
          <w:sz w:val="18"/>
          <w:szCs w:val="18"/>
        </w:rPr>
        <w:t xml:space="preserve">: </w:t>
      </w:r>
      <w:proofErr w:type="spellStart"/>
      <w:r w:rsidRPr="00CE21EA">
        <w:rPr>
          <w:rFonts w:ascii="Avenir Next" w:hAnsi="Avenir Next"/>
          <w:sz w:val="18"/>
          <w:szCs w:val="18"/>
        </w:rPr>
        <w:t>rodiados</w:t>
      </w:r>
      <w:proofErr w:type="spellEnd"/>
      <w:r w:rsidRPr="00CE21EA">
        <w:rPr>
          <w:rFonts w:ascii="Avenir Next" w:hAnsi="Avenir Next"/>
          <w:sz w:val="18"/>
          <w:szCs w:val="18"/>
        </w:rPr>
        <w:t>, facetados y recubiertos de Super-</w:t>
      </w:r>
      <w:proofErr w:type="spellStart"/>
      <w:r w:rsidRPr="00CE21EA">
        <w:rPr>
          <w:rFonts w:ascii="Avenir Next" w:hAnsi="Avenir Next"/>
          <w:sz w:val="18"/>
          <w:szCs w:val="18"/>
        </w:rPr>
        <w:t>LumiNova</w:t>
      </w:r>
      <w:proofErr w:type="spellEnd"/>
      <w:r w:rsidRPr="00CE21EA">
        <w:rPr>
          <w:rFonts w:ascii="Avenir Next" w:hAnsi="Avenir Next"/>
          <w:sz w:val="18"/>
          <w:szCs w:val="18"/>
        </w:rPr>
        <w:t>® SLN C1</w:t>
      </w:r>
    </w:p>
    <w:p w14:paraId="40A59656" w14:textId="291B8DD9" w:rsidR="00857B46" w:rsidRPr="00CE21EA"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Agujas</w:t>
      </w:r>
      <w:r w:rsidRPr="00CE21EA">
        <w:rPr>
          <w:rFonts w:ascii="Avenir Next" w:hAnsi="Avenir Next"/>
          <w:sz w:val="18"/>
          <w:szCs w:val="18"/>
        </w:rPr>
        <w:t xml:space="preserve">: </w:t>
      </w:r>
      <w:proofErr w:type="spellStart"/>
      <w:r w:rsidRPr="00CE21EA">
        <w:rPr>
          <w:rFonts w:ascii="Avenir Next" w:hAnsi="Avenir Next"/>
          <w:sz w:val="18"/>
          <w:szCs w:val="18"/>
        </w:rPr>
        <w:t>rodiadas</w:t>
      </w:r>
      <w:proofErr w:type="spellEnd"/>
      <w:r w:rsidRPr="00CE21EA">
        <w:rPr>
          <w:rFonts w:ascii="Avenir Next" w:hAnsi="Avenir Next"/>
          <w:sz w:val="18"/>
          <w:szCs w:val="18"/>
        </w:rPr>
        <w:t>, facetadas y recubiertas de Super-</w:t>
      </w:r>
      <w:proofErr w:type="spellStart"/>
      <w:r w:rsidRPr="00CE21EA">
        <w:rPr>
          <w:rFonts w:ascii="Avenir Next" w:hAnsi="Avenir Next"/>
          <w:sz w:val="18"/>
          <w:szCs w:val="18"/>
        </w:rPr>
        <w:t>LumiNova</w:t>
      </w:r>
      <w:proofErr w:type="spellEnd"/>
      <w:r w:rsidRPr="00CE21EA">
        <w:rPr>
          <w:rFonts w:ascii="Avenir Next" w:hAnsi="Avenir Next"/>
          <w:sz w:val="18"/>
          <w:szCs w:val="18"/>
        </w:rPr>
        <w:t>® SLN C1</w:t>
      </w:r>
    </w:p>
    <w:p w14:paraId="2B854280" w14:textId="34B8938F" w:rsidR="00857B46" w:rsidRPr="006E57E9" w:rsidRDefault="00857B46" w:rsidP="00857B46">
      <w:pPr>
        <w:autoSpaceDE w:val="0"/>
        <w:autoSpaceDN w:val="0"/>
        <w:adjustRightInd w:val="0"/>
        <w:spacing w:line="276" w:lineRule="auto"/>
        <w:rPr>
          <w:rFonts w:ascii="Avenir Next" w:hAnsi="Avenir Next" w:cs="OpenSans-CondensedLight"/>
          <w:sz w:val="18"/>
          <w:szCs w:val="18"/>
        </w:rPr>
      </w:pPr>
      <w:r w:rsidRPr="00CE21EA">
        <w:rPr>
          <w:rFonts w:ascii="Avenir Next" w:hAnsi="Avenir Next"/>
          <w:b/>
          <w:sz w:val="18"/>
          <w:szCs w:val="18"/>
        </w:rPr>
        <w:t>Brazalete y cierre:</w:t>
      </w:r>
      <w:r w:rsidRPr="00CE21EA">
        <w:rPr>
          <w:rFonts w:ascii="Avenir Next" w:hAnsi="Avenir Next"/>
          <w:sz w:val="18"/>
          <w:szCs w:val="18"/>
        </w:rPr>
        <w:t xml:space="preserve"> correa efecto tejido violeta. Doble cierre desplegable de titanio</w:t>
      </w:r>
      <w:bookmarkEnd w:id="1"/>
      <w:r w:rsidRPr="00CE21EA">
        <w:rPr>
          <w:rFonts w:ascii="Avenir Next" w:hAnsi="Avenir Next"/>
          <w:sz w:val="18"/>
          <w:szCs w:val="18"/>
        </w:rPr>
        <w:t xml:space="preserve"> </w:t>
      </w:r>
      <w:proofErr w:type="spellStart"/>
      <w:r w:rsidRPr="00CE21EA">
        <w:rPr>
          <w:rFonts w:ascii="Avenir Next" w:hAnsi="Avenir Next"/>
          <w:sz w:val="18"/>
          <w:szCs w:val="18"/>
        </w:rPr>
        <w:t>microgranallado</w:t>
      </w:r>
      <w:proofErr w:type="spellEnd"/>
    </w:p>
    <w:p w14:paraId="7F9E7EDD" w14:textId="77777777" w:rsidR="00857B46" w:rsidRPr="00857B46" w:rsidRDefault="00857B46" w:rsidP="00190DED">
      <w:pPr>
        <w:jc w:val="both"/>
        <w:rPr>
          <w:rFonts w:ascii="Avenir Next" w:hAnsi="Avenir Next" w:cs="Times New Roman"/>
          <w:sz w:val="18"/>
          <w:szCs w:val="18"/>
        </w:rPr>
      </w:pPr>
    </w:p>
    <w:p w14:paraId="1978C577" w14:textId="493C2DDD" w:rsidR="008406A2" w:rsidRPr="005B7A4D" w:rsidRDefault="008406A2" w:rsidP="00190DED">
      <w:pPr>
        <w:jc w:val="both"/>
        <w:rPr>
          <w:rFonts w:ascii="Avenir Next" w:hAnsi="Avenir Next" w:cs="Times New Roman"/>
          <w:sz w:val="18"/>
          <w:szCs w:val="18"/>
        </w:rPr>
      </w:pPr>
    </w:p>
    <w:p w14:paraId="24B843A4" w14:textId="4C07A193" w:rsidR="008406A2" w:rsidRPr="005B7A4D" w:rsidRDefault="008406A2" w:rsidP="00190DED">
      <w:pPr>
        <w:jc w:val="both"/>
        <w:rPr>
          <w:rFonts w:ascii="Avenir Next" w:hAnsi="Avenir Next" w:cs="Times New Roman"/>
          <w:sz w:val="18"/>
          <w:szCs w:val="18"/>
        </w:rPr>
      </w:pPr>
    </w:p>
    <w:p w14:paraId="5BCE6AAE" w14:textId="18DF6CBB" w:rsidR="008406A2" w:rsidRPr="005B7A4D" w:rsidRDefault="008406A2" w:rsidP="00190DED">
      <w:pPr>
        <w:jc w:val="both"/>
        <w:rPr>
          <w:rFonts w:ascii="Avenir Next" w:hAnsi="Avenir Next" w:cs="Times New Roman"/>
          <w:sz w:val="18"/>
          <w:szCs w:val="18"/>
        </w:rPr>
      </w:pPr>
    </w:p>
    <w:p w14:paraId="4E5AFB67" w14:textId="136B8479" w:rsidR="008406A2" w:rsidRPr="005B7A4D" w:rsidRDefault="008406A2" w:rsidP="00190DED">
      <w:pPr>
        <w:jc w:val="both"/>
        <w:rPr>
          <w:rFonts w:ascii="Avenir Next" w:hAnsi="Avenir Next" w:cs="Times New Roman"/>
          <w:sz w:val="18"/>
          <w:szCs w:val="18"/>
        </w:rPr>
      </w:pPr>
    </w:p>
    <w:p w14:paraId="1EC5D892" w14:textId="27121EE0" w:rsidR="008406A2" w:rsidRPr="005B7A4D" w:rsidRDefault="008406A2" w:rsidP="00190DED">
      <w:pPr>
        <w:jc w:val="both"/>
        <w:rPr>
          <w:rFonts w:ascii="Avenir Next" w:hAnsi="Avenir Next" w:cs="Times New Roman"/>
          <w:sz w:val="18"/>
          <w:szCs w:val="18"/>
        </w:rPr>
      </w:pPr>
    </w:p>
    <w:p w14:paraId="7D3735F0" w14:textId="4A1D2BBA" w:rsidR="008406A2" w:rsidRPr="005B7A4D" w:rsidRDefault="008406A2" w:rsidP="00190DED">
      <w:pPr>
        <w:jc w:val="both"/>
        <w:rPr>
          <w:rFonts w:ascii="Avenir Next" w:hAnsi="Avenir Next" w:cs="Times New Roman"/>
          <w:sz w:val="18"/>
          <w:szCs w:val="18"/>
        </w:rPr>
      </w:pPr>
    </w:p>
    <w:p w14:paraId="5C235C01" w14:textId="538D7F9C" w:rsidR="008406A2" w:rsidRPr="005B7A4D" w:rsidRDefault="008406A2" w:rsidP="00190DED">
      <w:pPr>
        <w:jc w:val="both"/>
        <w:rPr>
          <w:rFonts w:ascii="Avenir Next" w:hAnsi="Avenir Next" w:cs="Times New Roman"/>
          <w:sz w:val="18"/>
          <w:szCs w:val="18"/>
        </w:rPr>
      </w:pPr>
    </w:p>
    <w:p w14:paraId="76655710" w14:textId="28CA0763" w:rsidR="008406A2" w:rsidRPr="005B7A4D" w:rsidRDefault="008406A2" w:rsidP="00190DED">
      <w:pPr>
        <w:jc w:val="both"/>
        <w:rPr>
          <w:rFonts w:ascii="Avenir Next" w:hAnsi="Avenir Next" w:cs="Times New Roman"/>
          <w:sz w:val="18"/>
          <w:szCs w:val="18"/>
        </w:rPr>
      </w:pPr>
    </w:p>
    <w:p w14:paraId="698A1D21" w14:textId="728C75B8" w:rsidR="008406A2" w:rsidRPr="005B7A4D" w:rsidRDefault="008406A2" w:rsidP="00190DED">
      <w:pPr>
        <w:jc w:val="both"/>
        <w:rPr>
          <w:rFonts w:ascii="Avenir Next" w:hAnsi="Avenir Next" w:cs="Times New Roman"/>
          <w:sz w:val="18"/>
          <w:szCs w:val="18"/>
        </w:rPr>
      </w:pPr>
    </w:p>
    <w:p w14:paraId="118D01EB" w14:textId="698F4167" w:rsidR="008406A2" w:rsidRPr="005B7A4D" w:rsidRDefault="008406A2" w:rsidP="00190DED">
      <w:pPr>
        <w:jc w:val="both"/>
        <w:rPr>
          <w:rFonts w:ascii="Avenir Next" w:hAnsi="Avenir Next" w:cs="Times New Roman"/>
          <w:sz w:val="18"/>
          <w:szCs w:val="18"/>
        </w:rPr>
      </w:pPr>
    </w:p>
    <w:p w14:paraId="37CCECA0" w14:textId="4B9E98A8" w:rsidR="008406A2" w:rsidRPr="005B7A4D" w:rsidRDefault="008406A2" w:rsidP="00190DED">
      <w:pPr>
        <w:jc w:val="both"/>
        <w:rPr>
          <w:rFonts w:ascii="Avenir Next" w:hAnsi="Avenir Next" w:cs="Times New Roman"/>
          <w:sz w:val="18"/>
          <w:szCs w:val="18"/>
        </w:rPr>
      </w:pPr>
    </w:p>
    <w:p w14:paraId="725205FA" w14:textId="524EDA57" w:rsidR="0084011E" w:rsidRPr="005B7A4D" w:rsidRDefault="0084011E" w:rsidP="00190DED">
      <w:pPr>
        <w:jc w:val="both"/>
        <w:rPr>
          <w:rFonts w:ascii="Avenir Next" w:hAnsi="Avenir Next" w:cs="Times New Roman"/>
          <w:sz w:val="18"/>
          <w:szCs w:val="18"/>
        </w:rPr>
      </w:pPr>
    </w:p>
    <w:sectPr w:rsidR="0084011E" w:rsidRPr="005B7A4D"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04DF4" w14:textId="77777777" w:rsidR="004E23A2" w:rsidRDefault="004E23A2" w:rsidP="00857B46">
      <w:r>
        <w:separator/>
      </w:r>
    </w:p>
  </w:endnote>
  <w:endnote w:type="continuationSeparator" w:id="0">
    <w:p w14:paraId="1B0AFC29" w14:textId="77777777" w:rsidR="004E23A2" w:rsidRDefault="004E23A2"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5B7A4D" w:rsidRDefault="00857B46" w:rsidP="00857B46">
    <w:pPr>
      <w:pStyle w:val="Pieddepage"/>
      <w:jc w:val="center"/>
      <w:rPr>
        <w:rFonts w:ascii="Avenir Next" w:hAnsi="Avenir Next"/>
        <w:sz w:val="18"/>
        <w:szCs w:val="18"/>
        <w:lang w:val="fr-FR"/>
      </w:rPr>
    </w:pPr>
    <w:r w:rsidRPr="005B7A4D">
      <w:rPr>
        <w:rFonts w:ascii="Avenir Next" w:hAnsi="Avenir Next"/>
        <w:b/>
        <w:sz w:val="18"/>
        <w:szCs w:val="18"/>
        <w:lang w:val="fr-FR"/>
      </w:rPr>
      <w:t>ZENITH</w:t>
    </w:r>
    <w:r w:rsidRPr="005B7A4D">
      <w:rPr>
        <w:rFonts w:ascii="Avenir Next" w:hAnsi="Avenir Next"/>
        <w:sz w:val="18"/>
        <w:szCs w:val="18"/>
        <w:lang w:val="fr-FR"/>
      </w:rPr>
      <w:t xml:space="preserve"> | www.zenith-watches.com | Rue des Billodes 34-36 | CH-2400 Le Locle</w:t>
    </w:r>
  </w:p>
  <w:p w14:paraId="5BCFEAB4" w14:textId="17F4DF66" w:rsidR="00857B46" w:rsidRPr="00857B46" w:rsidRDefault="00857B46" w:rsidP="00857B46">
    <w:pPr>
      <w:pStyle w:val="Pieddepage"/>
      <w:jc w:val="center"/>
      <w:rPr>
        <w:rFonts w:ascii="Avenir Next" w:hAnsi="Avenir Next"/>
        <w:sz w:val="18"/>
        <w:szCs w:val="18"/>
      </w:rPr>
    </w:pPr>
    <w:r>
      <w:rPr>
        <w:rFonts w:ascii="Avenir Next" w:hAnsi="Avenir Next"/>
        <w:sz w:val="18"/>
        <w:szCs w:val="18"/>
      </w:rPr>
      <w:t xml:space="preserve">Relaciones con medios internacionales — Correo electrónico: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8BA0A" w14:textId="77777777" w:rsidR="004E23A2" w:rsidRDefault="004E23A2" w:rsidP="00857B46">
      <w:r>
        <w:separator/>
      </w:r>
    </w:p>
  </w:footnote>
  <w:footnote w:type="continuationSeparator" w:id="0">
    <w:p w14:paraId="3C073CE0" w14:textId="77777777" w:rsidR="004E23A2" w:rsidRDefault="004E23A2"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150CE5"/>
    <w:rsid w:val="00190DED"/>
    <w:rsid w:val="002371D2"/>
    <w:rsid w:val="002511D3"/>
    <w:rsid w:val="002B58FA"/>
    <w:rsid w:val="00326EB8"/>
    <w:rsid w:val="003526C0"/>
    <w:rsid w:val="003672E3"/>
    <w:rsid w:val="00435E7F"/>
    <w:rsid w:val="00441EB5"/>
    <w:rsid w:val="004D0385"/>
    <w:rsid w:val="004E23A2"/>
    <w:rsid w:val="00515576"/>
    <w:rsid w:val="00556C5A"/>
    <w:rsid w:val="00560A63"/>
    <w:rsid w:val="005A55D6"/>
    <w:rsid w:val="005B7A4D"/>
    <w:rsid w:val="007133FB"/>
    <w:rsid w:val="00777B59"/>
    <w:rsid w:val="0081773E"/>
    <w:rsid w:val="0084011E"/>
    <w:rsid w:val="008406A2"/>
    <w:rsid w:val="00857B46"/>
    <w:rsid w:val="008B46D5"/>
    <w:rsid w:val="009002F7"/>
    <w:rsid w:val="00922A50"/>
    <w:rsid w:val="009271A5"/>
    <w:rsid w:val="009315FD"/>
    <w:rsid w:val="00954553"/>
    <w:rsid w:val="00964FBA"/>
    <w:rsid w:val="00AA1D1F"/>
    <w:rsid w:val="00B21701"/>
    <w:rsid w:val="00B5023C"/>
    <w:rsid w:val="00B57995"/>
    <w:rsid w:val="00BB126E"/>
    <w:rsid w:val="00C27B7C"/>
    <w:rsid w:val="00CA3C0C"/>
    <w:rsid w:val="00CE21EA"/>
    <w:rsid w:val="00CF560F"/>
    <w:rsid w:val="00D61DDE"/>
    <w:rsid w:val="00F0519E"/>
    <w:rsid w:val="00F5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4331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2020-03-11T14:03:00Z</cp:lastPrinted>
  <dcterms:created xsi:type="dcterms:W3CDTF">2020-03-19T08:53:00Z</dcterms:created>
  <dcterms:modified xsi:type="dcterms:W3CDTF">2020-03-19T08:53:00Z</dcterms:modified>
</cp:coreProperties>
</file>