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44314" w14:textId="569B2157" w:rsidR="00694426" w:rsidRDefault="00694426" w:rsidP="00F872F9">
      <w:pPr>
        <w:jc w:val="both"/>
        <w:rPr>
          <w:rFonts w:ascii="Avenir Next" w:hAnsi="Avenir Next" w:cs="Times New Roman"/>
          <w:color w:val="222222"/>
          <w:sz w:val="16"/>
          <w:szCs w:val="16"/>
        </w:rPr>
      </w:pPr>
    </w:p>
    <w:p w14:paraId="41A0CCB7" w14:textId="05EBA462" w:rsidR="00406DB2" w:rsidRPr="00EA509E" w:rsidRDefault="00406DB2" w:rsidP="00EA509E">
      <w:pPr>
        <w:jc w:val="center"/>
        <w:rPr>
          <w:rFonts w:ascii="Avenir Next" w:hAnsi="Avenir Next"/>
          <w:b/>
          <w:bCs/>
          <w:color w:val="222222"/>
        </w:rPr>
      </w:pPr>
      <w:r>
        <w:rPr>
          <w:rFonts w:ascii="Avenir Next" w:hAnsi="Avenir Next"/>
          <w:b/>
          <w:bCs/>
          <w:color w:val="222222"/>
        </w:rPr>
        <w:t xml:space="preserve">Zenith </w:t>
      </w:r>
      <w:r w:rsidR="00254DF7">
        <w:rPr>
          <w:rFonts w:ascii="Avenir Next" w:hAnsi="Avenir Next"/>
          <w:b/>
          <w:bCs/>
          <w:color w:val="222222"/>
        </w:rPr>
        <w:t>setzt</w:t>
      </w:r>
      <w:r>
        <w:rPr>
          <w:rFonts w:ascii="Avenir Next" w:hAnsi="Avenir Next"/>
          <w:b/>
          <w:bCs/>
          <w:color w:val="222222"/>
        </w:rPr>
        <w:t xml:space="preserve"> </w:t>
      </w:r>
      <w:r w:rsidR="00254DF7">
        <w:rPr>
          <w:rFonts w:ascii="Avenir Next" w:hAnsi="Avenir Next"/>
          <w:b/>
          <w:bCs/>
          <w:color w:val="222222"/>
        </w:rPr>
        <w:t>auf Kontraste</w:t>
      </w:r>
      <w:r>
        <w:rPr>
          <w:rFonts w:ascii="Avenir Next" w:hAnsi="Avenir Next"/>
          <w:b/>
          <w:bCs/>
          <w:color w:val="222222"/>
        </w:rPr>
        <w:t xml:space="preserve"> </w:t>
      </w:r>
      <w:r w:rsidR="00CE3CF3">
        <w:rPr>
          <w:rFonts w:ascii="Avenir Next" w:hAnsi="Avenir Next"/>
          <w:b/>
          <w:bCs/>
          <w:color w:val="222222"/>
        </w:rPr>
        <w:t xml:space="preserve">und präsentiert </w:t>
      </w:r>
      <w:r w:rsidR="00EA509E">
        <w:rPr>
          <w:rFonts w:ascii="Avenir Next" w:hAnsi="Avenir Next"/>
          <w:b/>
          <w:bCs/>
          <w:color w:val="222222"/>
        </w:rPr>
        <w:t xml:space="preserve"> </w:t>
      </w:r>
      <w:r w:rsidR="00CE3CF3">
        <w:rPr>
          <w:rFonts w:ascii="Avenir Next" w:hAnsi="Avenir Next"/>
          <w:b/>
          <w:bCs/>
          <w:color w:val="222222"/>
        </w:rPr>
        <w:t xml:space="preserve">die neue Black &amp; White </w:t>
      </w:r>
      <w:r w:rsidR="0055162F">
        <w:rPr>
          <w:rFonts w:ascii="Avenir Next" w:hAnsi="Avenir Next"/>
          <w:b/>
          <w:bCs/>
          <w:color w:val="222222"/>
        </w:rPr>
        <w:t>Edition</w:t>
      </w:r>
      <w:r w:rsidR="00EA509E">
        <w:rPr>
          <w:rFonts w:ascii="Avenir Next" w:hAnsi="Avenir Next"/>
          <w:b/>
          <w:bCs/>
          <w:color w:val="222222"/>
        </w:rPr>
        <w:t xml:space="preserve"> </w:t>
      </w:r>
      <w:r w:rsidR="00CE3CF3">
        <w:rPr>
          <w:rFonts w:ascii="Avenir Next" w:hAnsi="Avenir Next"/>
          <w:b/>
          <w:bCs/>
          <w:color w:val="222222"/>
        </w:rPr>
        <w:t xml:space="preserve">Die </w:t>
      </w:r>
      <w:r>
        <w:rPr>
          <w:rFonts w:ascii="Avenir Next" w:hAnsi="Avenir Next"/>
          <w:b/>
          <w:bCs/>
          <w:color w:val="222222"/>
        </w:rPr>
        <w:t>DEFY 21 und d</w:t>
      </w:r>
      <w:r w:rsidR="00CE3CF3">
        <w:rPr>
          <w:rFonts w:ascii="Avenir Next" w:hAnsi="Avenir Next"/>
          <w:b/>
          <w:bCs/>
          <w:color w:val="222222"/>
        </w:rPr>
        <w:t xml:space="preserve">ie </w:t>
      </w:r>
      <w:r>
        <w:rPr>
          <w:rFonts w:ascii="Avenir Next" w:hAnsi="Avenir Next"/>
          <w:b/>
          <w:bCs/>
          <w:color w:val="222222"/>
        </w:rPr>
        <w:t>DEFY Classic Black &amp; White</w:t>
      </w:r>
      <w:r w:rsidR="00CE3CF3">
        <w:rPr>
          <w:rFonts w:ascii="Avenir Next" w:hAnsi="Avenir Next"/>
          <w:b/>
          <w:bCs/>
          <w:color w:val="222222"/>
        </w:rPr>
        <w:t xml:space="preserve"> werden </w:t>
      </w:r>
      <w:r>
        <w:rPr>
          <w:rFonts w:ascii="Avenir Next" w:hAnsi="Avenir Next"/>
          <w:b/>
          <w:bCs/>
        </w:rPr>
        <w:t xml:space="preserve">exklusiv </w:t>
      </w:r>
      <w:r w:rsidR="00CE3CF3">
        <w:rPr>
          <w:rFonts w:ascii="Avenir Next" w:hAnsi="Avenir Next"/>
          <w:b/>
          <w:bCs/>
        </w:rPr>
        <w:t xml:space="preserve">in </w:t>
      </w:r>
      <w:r>
        <w:rPr>
          <w:rFonts w:ascii="Avenir Next" w:hAnsi="Avenir Next"/>
          <w:b/>
          <w:bCs/>
        </w:rPr>
        <w:t xml:space="preserve">Boutiquen von Zenith und </w:t>
      </w:r>
      <w:r w:rsidR="00CE3CF3">
        <w:rPr>
          <w:rFonts w:ascii="Avenir Next" w:hAnsi="Avenir Next"/>
          <w:b/>
          <w:bCs/>
        </w:rPr>
        <w:t>o</w:t>
      </w:r>
      <w:r>
        <w:rPr>
          <w:rFonts w:ascii="Avenir Next" w:hAnsi="Avenir Next"/>
          <w:b/>
          <w:bCs/>
        </w:rPr>
        <w:t>nline</w:t>
      </w:r>
      <w:r w:rsidR="00CE3CF3">
        <w:rPr>
          <w:rFonts w:ascii="Avenir Next" w:hAnsi="Avenir Next"/>
          <w:b/>
          <w:bCs/>
        </w:rPr>
        <w:t xml:space="preserve"> erhältlich sein</w:t>
      </w:r>
    </w:p>
    <w:p w14:paraId="7D98CD22" w14:textId="77777777" w:rsidR="00694426" w:rsidRPr="00284C5D" w:rsidRDefault="00694426" w:rsidP="00F872F9">
      <w:pPr>
        <w:jc w:val="both"/>
        <w:rPr>
          <w:rFonts w:ascii="Avenir Next" w:hAnsi="Avenir Next" w:cs="Times New Roman"/>
          <w:sz w:val="18"/>
          <w:szCs w:val="18"/>
        </w:rPr>
      </w:pPr>
    </w:p>
    <w:p w14:paraId="79AF0F97" w14:textId="77788C32" w:rsidR="00936515" w:rsidRDefault="00943AC4" w:rsidP="00F872F9">
      <w:pPr>
        <w:jc w:val="both"/>
        <w:rPr>
          <w:rFonts w:ascii="Avenir Next" w:hAnsi="Avenir Next" w:cs="Times New Roman"/>
          <w:sz w:val="18"/>
          <w:szCs w:val="18"/>
        </w:rPr>
      </w:pPr>
      <w:r>
        <w:rPr>
          <w:rFonts w:ascii="Avenir Next" w:hAnsi="Avenir Next"/>
          <w:sz w:val="18"/>
          <w:szCs w:val="18"/>
        </w:rPr>
        <w:t xml:space="preserve">Schwarz &amp; Weiß sind mehr als nur eine Farbkombination. Sie sprechen die Sprache der Gestaltungskunst, von überragenden Städtelandschaften, ausgefallener Kunst und </w:t>
      </w:r>
      <w:r w:rsidR="000E6E3B">
        <w:rPr>
          <w:rFonts w:ascii="Avenir Next" w:hAnsi="Avenir Next"/>
          <w:sz w:val="18"/>
          <w:szCs w:val="18"/>
        </w:rPr>
        <w:t>eigenwilliger Modetrends</w:t>
      </w:r>
      <w:r>
        <w:rPr>
          <w:rFonts w:ascii="Avenir Next" w:hAnsi="Avenir Next"/>
          <w:sz w:val="18"/>
          <w:szCs w:val="18"/>
        </w:rPr>
        <w:t xml:space="preserve">. Die </w:t>
      </w:r>
      <w:r w:rsidR="000E6E3B">
        <w:rPr>
          <w:rFonts w:ascii="Avenir Next" w:hAnsi="Avenir Next"/>
          <w:sz w:val="18"/>
          <w:szCs w:val="18"/>
        </w:rPr>
        <w:t xml:space="preserve">Black &amp; White Edition, </w:t>
      </w:r>
      <w:r>
        <w:rPr>
          <w:rFonts w:ascii="Avenir Next" w:hAnsi="Avenir Next"/>
          <w:sz w:val="18"/>
          <w:szCs w:val="18"/>
        </w:rPr>
        <w:t xml:space="preserve">exklusiv in Zenith Boutiquen </w:t>
      </w:r>
      <w:r w:rsidR="000E6E3B">
        <w:rPr>
          <w:rFonts w:ascii="Avenir Next" w:hAnsi="Avenir Next"/>
          <w:sz w:val="18"/>
          <w:szCs w:val="18"/>
        </w:rPr>
        <w:t>erhältlich,</w:t>
      </w:r>
      <w:r>
        <w:rPr>
          <w:rFonts w:ascii="Avenir Next" w:hAnsi="Avenir Next"/>
          <w:sz w:val="18"/>
          <w:szCs w:val="18"/>
        </w:rPr>
        <w:t xml:space="preserve"> schl</w:t>
      </w:r>
      <w:r w:rsidR="0055162F">
        <w:rPr>
          <w:rFonts w:ascii="Avenir Next" w:hAnsi="Avenir Next"/>
          <w:sz w:val="18"/>
          <w:szCs w:val="18"/>
        </w:rPr>
        <w:t>ä</w:t>
      </w:r>
      <w:r>
        <w:rPr>
          <w:rFonts w:ascii="Avenir Next" w:hAnsi="Avenir Next"/>
          <w:sz w:val="18"/>
          <w:szCs w:val="18"/>
        </w:rPr>
        <w:t>g</w:t>
      </w:r>
      <w:r w:rsidR="0055162F">
        <w:rPr>
          <w:rFonts w:ascii="Avenir Next" w:hAnsi="Avenir Next"/>
          <w:sz w:val="18"/>
          <w:szCs w:val="18"/>
        </w:rPr>
        <w:t>t</w:t>
      </w:r>
      <w:r>
        <w:rPr>
          <w:rFonts w:ascii="Avenir Next" w:hAnsi="Avenir Next"/>
          <w:sz w:val="18"/>
          <w:szCs w:val="18"/>
        </w:rPr>
        <w:t xml:space="preserve"> mit ihrer achromatischen Optik einen ganz anderen Weg ein als die DEFY 21 und DEFY Classic </w:t>
      </w:r>
      <w:r w:rsidR="000E6E3B">
        <w:rPr>
          <w:rFonts w:ascii="Avenir Next" w:hAnsi="Avenir Next"/>
          <w:sz w:val="18"/>
          <w:szCs w:val="18"/>
        </w:rPr>
        <w:t>Variationen</w:t>
      </w:r>
      <w:r>
        <w:rPr>
          <w:rFonts w:ascii="Avenir Next" w:hAnsi="Avenir Next"/>
          <w:sz w:val="18"/>
          <w:szCs w:val="18"/>
        </w:rPr>
        <w:t xml:space="preserve"> </w:t>
      </w:r>
      <w:r w:rsidR="00FE3034">
        <w:rPr>
          <w:rFonts w:ascii="Avenir Next" w:hAnsi="Avenir Next"/>
          <w:sz w:val="18"/>
          <w:szCs w:val="18"/>
        </w:rPr>
        <w:t>in ausgefallenen</w:t>
      </w:r>
      <w:r>
        <w:rPr>
          <w:rFonts w:ascii="Avenir Next" w:hAnsi="Avenir Next"/>
          <w:sz w:val="18"/>
          <w:szCs w:val="18"/>
        </w:rPr>
        <w:t xml:space="preserve"> Materialien und leuchtenden Farben.</w:t>
      </w:r>
    </w:p>
    <w:p w14:paraId="37B4B47E" w14:textId="77777777" w:rsidR="00936515" w:rsidRDefault="00936515" w:rsidP="00F872F9">
      <w:pPr>
        <w:jc w:val="both"/>
        <w:rPr>
          <w:rFonts w:ascii="Avenir Next" w:hAnsi="Avenir Next" w:cs="Times New Roman"/>
          <w:sz w:val="18"/>
          <w:szCs w:val="18"/>
        </w:rPr>
      </w:pPr>
    </w:p>
    <w:p w14:paraId="647A8294" w14:textId="1CDE759E" w:rsidR="00375A41" w:rsidRDefault="001D287B" w:rsidP="00F872F9">
      <w:pPr>
        <w:jc w:val="both"/>
        <w:rPr>
          <w:rFonts w:ascii="Avenir Next" w:hAnsi="Avenir Next" w:cs="Times New Roman"/>
          <w:sz w:val="18"/>
          <w:szCs w:val="18"/>
        </w:rPr>
      </w:pPr>
      <w:r>
        <w:rPr>
          <w:rFonts w:ascii="Avenir Next" w:hAnsi="Avenir Next"/>
          <w:sz w:val="18"/>
          <w:szCs w:val="18"/>
        </w:rPr>
        <w:t>Diese Neuinterpretationen</w:t>
      </w:r>
      <w:r w:rsidR="00696DDA">
        <w:rPr>
          <w:rFonts w:ascii="Avenir Next" w:hAnsi="Avenir Next"/>
          <w:sz w:val="18"/>
          <w:szCs w:val="18"/>
        </w:rPr>
        <w:t xml:space="preserve"> </w:t>
      </w:r>
      <w:r>
        <w:rPr>
          <w:rFonts w:ascii="Avenir Next" w:hAnsi="Avenir Next"/>
          <w:sz w:val="18"/>
          <w:szCs w:val="18"/>
        </w:rPr>
        <w:t xml:space="preserve">der </w:t>
      </w:r>
      <w:r w:rsidR="00696DDA">
        <w:rPr>
          <w:rFonts w:ascii="Avenir Next" w:hAnsi="Avenir Next"/>
          <w:sz w:val="18"/>
          <w:szCs w:val="18"/>
        </w:rPr>
        <w:t xml:space="preserve">beiden symbolträchtigsten </w:t>
      </w:r>
      <w:r>
        <w:rPr>
          <w:rFonts w:ascii="Avenir Next" w:hAnsi="Avenir Next"/>
          <w:sz w:val="18"/>
          <w:szCs w:val="18"/>
        </w:rPr>
        <w:t xml:space="preserve">Modelle der DEFY Kollektion unterstreichen ihre Einzigartigkeit durch ihre kühne Architektur. Stark kontrastierende Schwarz- und Weißtöne </w:t>
      </w:r>
      <w:r w:rsidR="00696DDA">
        <w:rPr>
          <w:rFonts w:ascii="Avenir Next" w:hAnsi="Avenir Next"/>
          <w:sz w:val="18"/>
          <w:szCs w:val="18"/>
        </w:rPr>
        <w:t>kommen perfekt zur Geltung</w:t>
      </w:r>
      <w:r>
        <w:rPr>
          <w:rFonts w:ascii="Avenir Next" w:hAnsi="Avenir Next"/>
          <w:sz w:val="18"/>
          <w:szCs w:val="18"/>
        </w:rPr>
        <w:t xml:space="preserve"> und sorgen für eine</w:t>
      </w:r>
      <w:r w:rsidR="00257343">
        <w:rPr>
          <w:rFonts w:ascii="Avenir Next" w:hAnsi="Avenir Next"/>
          <w:sz w:val="18"/>
          <w:szCs w:val="18"/>
        </w:rPr>
        <w:t>n</w:t>
      </w:r>
      <w:r>
        <w:rPr>
          <w:rFonts w:ascii="Avenir Next" w:hAnsi="Avenir Next"/>
          <w:sz w:val="18"/>
          <w:szCs w:val="18"/>
        </w:rPr>
        <w:t xml:space="preserve"> </w:t>
      </w:r>
      <w:r w:rsidR="00257343">
        <w:rPr>
          <w:rFonts w:ascii="Avenir Next" w:hAnsi="Avenir Next"/>
          <w:sz w:val="18"/>
          <w:szCs w:val="18"/>
        </w:rPr>
        <w:t xml:space="preserve">ausgesprochen </w:t>
      </w:r>
      <w:r>
        <w:rPr>
          <w:rFonts w:ascii="Avenir Next" w:hAnsi="Avenir Next"/>
          <w:sz w:val="18"/>
          <w:szCs w:val="18"/>
        </w:rPr>
        <w:t>zeitgenössische</w:t>
      </w:r>
      <w:r w:rsidR="00257343">
        <w:rPr>
          <w:rFonts w:ascii="Avenir Next" w:hAnsi="Avenir Next"/>
          <w:sz w:val="18"/>
          <w:szCs w:val="18"/>
        </w:rPr>
        <w:t>n</w:t>
      </w:r>
      <w:r>
        <w:rPr>
          <w:rFonts w:ascii="Avenir Next" w:hAnsi="Avenir Next"/>
          <w:sz w:val="18"/>
          <w:szCs w:val="18"/>
        </w:rPr>
        <w:t xml:space="preserve"> und vielseitig</w:t>
      </w:r>
      <w:r w:rsidR="00257343">
        <w:rPr>
          <w:rFonts w:ascii="Avenir Next" w:hAnsi="Avenir Next"/>
          <w:sz w:val="18"/>
          <w:szCs w:val="18"/>
        </w:rPr>
        <w:t xml:space="preserve"> einsetzbaren Look. Ganz auf die Bedürfnisse </w:t>
      </w:r>
      <w:r>
        <w:rPr>
          <w:rFonts w:ascii="Avenir Next" w:hAnsi="Avenir Next"/>
          <w:sz w:val="18"/>
          <w:szCs w:val="18"/>
        </w:rPr>
        <w:t>de</w:t>
      </w:r>
      <w:r w:rsidR="00257343">
        <w:rPr>
          <w:rFonts w:ascii="Avenir Next" w:hAnsi="Avenir Next"/>
          <w:sz w:val="18"/>
          <w:szCs w:val="18"/>
        </w:rPr>
        <w:t>s</w:t>
      </w:r>
      <w:r>
        <w:rPr>
          <w:rFonts w:ascii="Avenir Next" w:hAnsi="Avenir Next"/>
          <w:sz w:val="18"/>
          <w:szCs w:val="18"/>
        </w:rPr>
        <w:t xml:space="preserve"> stilbewussten Uhrenliebhaber</w:t>
      </w:r>
      <w:r w:rsidR="00257343">
        <w:rPr>
          <w:rFonts w:ascii="Avenir Next" w:hAnsi="Avenir Next"/>
          <w:sz w:val="18"/>
          <w:szCs w:val="18"/>
        </w:rPr>
        <w:t xml:space="preserve"> </w:t>
      </w:r>
      <w:r>
        <w:rPr>
          <w:rFonts w:ascii="Avenir Next" w:hAnsi="Avenir Next"/>
          <w:sz w:val="18"/>
          <w:szCs w:val="18"/>
        </w:rPr>
        <w:t>von heute</w:t>
      </w:r>
      <w:r w:rsidR="00257343">
        <w:rPr>
          <w:rFonts w:ascii="Avenir Next" w:hAnsi="Avenir Next"/>
          <w:sz w:val="18"/>
          <w:szCs w:val="18"/>
        </w:rPr>
        <w:t xml:space="preserve"> angepasst</w:t>
      </w:r>
      <w:r>
        <w:rPr>
          <w:rFonts w:ascii="Avenir Next" w:hAnsi="Avenir Next"/>
          <w:sz w:val="18"/>
          <w:szCs w:val="18"/>
        </w:rPr>
        <w:t>.</w:t>
      </w:r>
    </w:p>
    <w:p w14:paraId="02F05A0A" w14:textId="77777777" w:rsidR="001D287B" w:rsidRPr="00284C5D" w:rsidRDefault="001D287B" w:rsidP="00F872F9">
      <w:pPr>
        <w:jc w:val="both"/>
        <w:rPr>
          <w:rFonts w:ascii="Avenir Next" w:hAnsi="Avenir Next" w:cs="Times New Roman"/>
          <w:sz w:val="18"/>
          <w:szCs w:val="18"/>
        </w:rPr>
      </w:pPr>
    </w:p>
    <w:p w14:paraId="4C2F6E16" w14:textId="44E2F132" w:rsidR="00F03472" w:rsidRPr="00284C5D" w:rsidRDefault="00AB460E" w:rsidP="00F872F9">
      <w:pPr>
        <w:jc w:val="both"/>
        <w:rPr>
          <w:rFonts w:ascii="Avenir Next" w:hAnsi="Avenir Next" w:cs="Times New Roman"/>
          <w:sz w:val="18"/>
          <w:szCs w:val="18"/>
        </w:rPr>
      </w:pPr>
      <w:r>
        <w:rPr>
          <w:rFonts w:ascii="Avenir Next" w:hAnsi="Avenir Next"/>
          <w:sz w:val="18"/>
          <w:szCs w:val="18"/>
        </w:rPr>
        <w:t>Die DEFY 21 verfügt über ein mattes, mikrogestrahltes, schwarzes 44-mm-Gehäuse aus Keramik, während das Gehäuse der DEFY Classic 41 mm misst. Das matte Finish</w:t>
      </w:r>
      <w:r w:rsidR="001A2954">
        <w:rPr>
          <w:rFonts w:ascii="Avenir Next" w:hAnsi="Avenir Next"/>
          <w:sz w:val="18"/>
          <w:szCs w:val="18"/>
        </w:rPr>
        <w:t xml:space="preserve"> hebt</w:t>
      </w:r>
      <w:r>
        <w:rPr>
          <w:rFonts w:ascii="Avenir Next" w:hAnsi="Avenir Next"/>
          <w:sz w:val="18"/>
          <w:szCs w:val="18"/>
        </w:rPr>
        <w:t xml:space="preserve"> die schlanken Linien des facettenreichen Gehäuses</w:t>
      </w:r>
      <w:r w:rsidR="001A2954">
        <w:rPr>
          <w:rFonts w:ascii="Avenir Next" w:hAnsi="Avenir Next"/>
          <w:sz w:val="18"/>
          <w:szCs w:val="18"/>
        </w:rPr>
        <w:t xml:space="preserve"> hervor</w:t>
      </w:r>
      <w:r>
        <w:rPr>
          <w:rFonts w:ascii="Avenir Next" w:hAnsi="Avenir Next"/>
          <w:sz w:val="18"/>
          <w:szCs w:val="18"/>
        </w:rPr>
        <w:t>, welches das Licht eher einfängt als reflektiert. Die</w:t>
      </w:r>
      <w:r w:rsidR="00FE3034">
        <w:rPr>
          <w:rFonts w:ascii="Avenir Next" w:hAnsi="Avenir Next"/>
          <w:sz w:val="18"/>
          <w:szCs w:val="18"/>
        </w:rPr>
        <w:t xml:space="preserve"> weiße Keramiklünette, mit der jedes Modell versehen ist, bildet einen scharfen </w:t>
      </w:r>
      <w:r>
        <w:rPr>
          <w:rFonts w:ascii="Avenir Next" w:hAnsi="Avenir Next"/>
          <w:sz w:val="18"/>
          <w:szCs w:val="18"/>
        </w:rPr>
        <w:t>Kontrast</w:t>
      </w:r>
      <w:r w:rsidR="00FE3034">
        <w:rPr>
          <w:rFonts w:ascii="Avenir Next" w:hAnsi="Avenir Next"/>
          <w:sz w:val="18"/>
          <w:szCs w:val="18"/>
        </w:rPr>
        <w:t xml:space="preserve"> und </w:t>
      </w:r>
      <w:r w:rsidR="001A2954">
        <w:rPr>
          <w:rFonts w:ascii="Avenir Next" w:hAnsi="Avenir Next"/>
          <w:sz w:val="18"/>
          <w:szCs w:val="18"/>
        </w:rPr>
        <w:t xml:space="preserve">betonnt gekonnt </w:t>
      </w:r>
      <w:r>
        <w:rPr>
          <w:rFonts w:ascii="Avenir Next" w:hAnsi="Avenir Next"/>
          <w:sz w:val="18"/>
          <w:szCs w:val="18"/>
        </w:rPr>
        <w:t>d</w:t>
      </w:r>
      <w:r w:rsidR="00FE3034">
        <w:rPr>
          <w:rFonts w:ascii="Avenir Next" w:hAnsi="Avenir Next"/>
          <w:sz w:val="18"/>
          <w:szCs w:val="18"/>
        </w:rPr>
        <w:t xml:space="preserve">as </w:t>
      </w:r>
      <w:r>
        <w:rPr>
          <w:rFonts w:ascii="Avenir Next" w:hAnsi="Avenir Next"/>
          <w:sz w:val="18"/>
          <w:szCs w:val="18"/>
        </w:rPr>
        <w:t>dreidimensionale Zifferbl</w:t>
      </w:r>
      <w:r w:rsidR="00FE3034">
        <w:rPr>
          <w:rFonts w:ascii="Avenir Next" w:hAnsi="Avenir Next"/>
          <w:sz w:val="18"/>
          <w:szCs w:val="18"/>
        </w:rPr>
        <w:t>att</w:t>
      </w:r>
      <w:r>
        <w:rPr>
          <w:rFonts w:ascii="Avenir Next" w:hAnsi="Avenir Next"/>
          <w:sz w:val="18"/>
          <w:szCs w:val="18"/>
        </w:rPr>
        <w:t>.</w:t>
      </w:r>
    </w:p>
    <w:p w14:paraId="3CF2EC70" w14:textId="77777777" w:rsidR="00F03472" w:rsidRPr="00284C5D" w:rsidRDefault="00F03472" w:rsidP="00F872F9">
      <w:pPr>
        <w:jc w:val="both"/>
        <w:rPr>
          <w:rFonts w:ascii="Avenir Next" w:hAnsi="Avenir Next" w:cs="Times New Roman"/>
          <w:sz w:val="18"/>
          <w:szCs w:val="18"/>
        </w:rPr>
      </w:pPr>
    </w:p>
    <w:p w14:paraId="77DBBDBA" w14:textId="3D8D56E4" w:rsidR="00007690" w:rsidRPr="00284C5D" w:rsidRDefault="000203DD" w:rsidP="00F872F9">
      <w:pPr>
        <w:jc w:val="both"/>
        <w:rPr>
          <w:rFonts w:ascii="Avenir Next" w:hAnsi="Avenir Next" w:cs="Times New Roman"/>
          <w:sz w:val="18"/>
          <w:szCs w:val="18"/>
        </w:rPr>
      </w:pPr>
      <w:r>
        <w:rPr>
          <w:rFonts w:ascii="Avenir Next" w:hAnsi="Avenir Next"/>
          <w:sz w:val="18"/>
          <w:szCs w:val="18"/>
        </w:rPr>
        <w:t xml:space="preserve">Eine weiße 1/100-Sekunden-Skala und der 30-Minuten-Zähler der DEFY 21 schweben förmlich über dem geschwärzten Uhrwerk. Das hochmoderne offene Zifferblatt der DEFY Classic mit seinem zentralem Sternmotiv verfügt bei dieser exklusiven Boutique Edition über ein ähnliches Design, mit einem weißen Höhenring und einem geschwärzten, symmetrischen, offenen Zifferblatt. Ein schwarz-weißes Armband aus Kautschuk </w:t>
      </w:r>
      <w:r w:rsidR="00737B83">
        <w:rPr>
          <w:rFonts w:ascii="Avenir Next" w:hAnsi="Avenir Next"/>
          <w:sz w:val="18"/>
          <w:szCs w:val="18"/>
        </w:rPr>
        <w:t>mit Cordura-Effekt verleiht</w:t>
      </w:r>
      <w:r>
        <w:rPr>
          <w:rFonts w:ascii="Avenir Next" w:hAnsi="Avenir Next"/>
          <w:sz w:val="18"/>
          <w:szCs w:val="18"/>
        </w:rPr>
        <w:t xml:space="preserve"> d</w:t>
      </w:r>
      <w:r w:rsidR="00D83529">
        <w:rPr>
          <w:rFonts w:ascii="Avenir Next" w:hAnsi="Avenir Next"/>
          <w:sz w:val="18"/>
          <w:szCs w:val="18"/>
        </w:rPr>
        <w:t>en neuen Uhren</w:t>
      </w:r>
      <w:r>
        <w:rPr>
          <w:rFonts w:ascii="Avenir Next" w:hAnsi="Avenir Next"/>
          <w:sz w:val="18"/>
          <w:szCs w:val="18"/>
        </w:rPr>
        <w:t xml:space="preserve"> den letzten </w:t>
      </w:r>
      <w:r w:rsidR="00D83529">
        <w:rPr>
          <w:rFonts w:ascii="Avenir Next" w:hAnsi="Avenir Next"/>
          <w:sz w:val="18"/>
          <w:szCs w:val="18"/>
        </w:rPr>
        <w:t>Designtwist</w:t>
      </w:r>
      <w:r>
        <w:rPr>
          <w:rFonts w:ascii="Avenir Next" w:hAnsi="Avenir Next"/>
          <w:sz w:val="18"/>
          <w:szCs w:val="18"/>
        </w:rPr>
        <w:t xml:space="preserve">. </w:t>
      </w:r>
      <w:r w:rsidR="00D83529">
        <w:rPr>
          <w:rFonts w:ascii="Avenir Next" w:hAnsi="Avenir Next"/>
          <w:sz w:val="18"/>
          <w:szCs w:val="18"/>
        </w:rPr>
        <w:t xml:space="preserve">Für einen dezenteren Look wird bei beiden Black &amp; White Neuheiten ein </w:t>
      </w:r>
      <w:r w:rsidR="00737B83">
        <w:rPr>
          <w:rFonts w:ascii="Avenir Next" w:hAnsi="Avenir Next"/>
          <w:sz w:val="18"/>
          <w:szCs w:val="18"/>
        </w:rPr>
        <w:t>zweite</w:t>
      </w:r>
      <w:r w:rsidR="00D83529">
        <w:rPr>
          <w:rFonts w:ascii="Avenir Next" w:hAnsi="Avenir Next"/>
          <w:sz w:val="18"/>
          <w:szCs w:val="18"/>
        </w:rPr>
        <w:t>s</w:t>
      </w:r>
      <w:r w:rsidR="00737B83">
        <w:rPr>
          <w:rFonts w:ascii="Avenir Next" w:hAnsi="Avenir Next"/>
          <w:sz w:val="18"/>
          <w:szCs w:val="18"/>
        </w:rPr>
        <w:t xml:space="preserve"> Armband aus schwarzem strukturiertem Kautschuk</w:t>
      </w:r>
      <w:r w:rsidR="00D83529">
        <w:rPr>
          <w:rFonts w:ascii="Avenir Next" w:hAnsi="Avenir Next"/>
          <w:sz w:val="18"/>
          <w:szCs w:val="18"/>
        </w:rPr>
        <w:t xml:space="preserve"> mitgeliefert.</w:t>
      </w:r>
      <w:r>
        <w:rPr>
          <w:rFonts w:ascii="Avenir Next" w:hAnsi="Avenir Next"/>
          <w:sz w:val="18"/>
          <w:szCs w:val="18"/>
        </w:rPr>
        <w:t xml:space="preserve"> </w:t>
      </w:r>
    </w:p>
    <w:p w14:paraId="62958C9B" w14:textId="77777777" w:rsidR="00007690" w:rsidRPr="00284C5D" w:rsidRDefault="00007690" w:rsidP="00F872F9">
      <w:pPr>
        <w:jc w:val="both"/>
        <w:rPr>
          <w:rFonts w:ascii="Avenir Next" w:hAnsi="Avenir Next" w:cs="Times New Roman"/>
          <w:sz w:val="18"/>
          <w:szCs w:val="18"/>
        </w:rPr>
      </w:pPr>
    </w:p>
    <w:p w14:paraId="40B3AABF" w14:textId="21079A3A" w:rsidR="00D83529" w:rsidRDefault="009B15AA" w:rsidP="00DD43FC">
      <w:pPr>
        <w:jc w:val="both"/>
        <w:rPr>
          <w:rFonts w:ascii="Avenir Next" w:eastAsia="Times New Roman" w:hAnsi="Avenir Next" w:cs="Arial"/>
          <w:b/>
          <w:sz w:val="18"/>
          <w:szCs w:val="18"/>
        </w:rPr>
      </w:pPr>
      <w:r>
        <w:rPr>
          <w:rFonts w:ascii="Avenir Next" w:hAnsi="Avenir Next"/>
          <w:sz w:val="18"/>
          <w:szCs w:val="18"/>
        </w:rPr>
        <w:t xml:space="preserve">Die DEFY 21 Black &amp; White und DEFY Classic Black &amp; White sind exklusiv ab dem </w:t>
      </w:r>
      <w:r w:rsidR="00067F47">
        <w:rPr>
          <w:rFonts w:ascii="Avenir Next" w:hAnsi="Avenir Next"/>
          <w:sz w:val="18"/>
          <w:szCs w:val="18"/>
        </w:rPr>
        <w:t>31</w:t>
      </w:r>
      <w:bookmarkStart w:id="0" w:name="_GoBack"/>
      <w:bookmarkEnd w:id="0"/>
      <w:r>
        <w:rPr>
          <w:rFonts w:ascii="Avenir Next" w:hAnsi="Avenir Next"/>
          <w:sz w:val="18"/>
          <w:szCs w:val="18"/>
        </w:rPr>
        <w:t>. August 2020 in Zenith Boutiquen und im E-Shop erhältlich.</w:t>
      </w:r>
    </w:p>
    <w:p w14:paraId="70013CE6" w14:textId="77777777" w:rsidR="005D5892" w:rsidRDefault="005D5892" w:rsidP="005D5892">
      <w:pPr>
        <w:spacing w:line="276" w:lineRule="auto"/>
        <w:jc w:val="both"/>
        <w:rPr>
          <w:rFonts w:ascii="Avenir Next" w:eastAsia="Times New Roman" w:hAnsi="Avenir Next" w:cs="Arial"/>
          <w:b/>
          <w:sz w:val="18"/>
          <w:szCs w:val="18"/>
        </w:rPr>
      </w:pPr>
    </w:p>
    <w:p w14:paraId="18E4E3DB" w14:textId="3444F47F" w:rsidR="005D5892" w:rsidRPr="00254DF7" w:rsidRDefault="005D5892" w:rsidP="00B4027A">
      <w:pPr>
        <w:rPr>
          <w:rFonts w:ascii="Avenir Next" w:eastAsia="Times New Roman" w:hAnsi="Avenir Next" w:cs="Arial"/>
          <w:b/>
          <w:sz w:val="18"/>
          <w:szCs w:val="18"/>
          <w:lang w:val="en-US"/>
        </w:rPr>
      </w:pPr>
      <w:r w:rsidRPr="00254DF7">
        <w:rPr>
          <w:rFonts w:ascii="Avenir Next" w:hAnsi="Avenir Next"/>
          <w:b/>
          <w:sz w:val="18"/>
          <w:szCs w:val="18"/>
          <w:lang w:val="en-US"/>
        </w:rPr>
        <w:t>ZENITH: TIME TO REACH YOUR STAR.</w:t>
      </w:r>
    </w:p>
    <w:p w14:paraId="20061510" w14:textId="77777777" w:rsidR="005D5892" w:rsidRPr="00254DF7" w:rsidRDefault="005D5892" w:rsidP="005D5892">
      <w:pPr>
        <w:spacing w:line="276" w:lineRule="auto"/>
        <w:jc w:val="both"/>
        <w:rPr>
          <w:rFonts w:ascii="Avenir Next" w:eastAsia="Times New Roman" w:hAnsi="Avenir Next" w:cs="Arial"/>
          <w:b/>
          <w:sz w:val="18"/>
          <w:szCs w:val="18"/>
          <w:lang w:val="en-US"/>
        </w:rPr>
      </w:pPr>
    </w:p>
    <w:p w14:paraId="2462CBC0" w14:textId="77777777" w:rsidR="005D5892" w:rsidRPr="00AA1D1F" w:rsidRDefault="005D5892" w:rsidP="005D5892">
      <w:pPr>
        <w:jc w:val="both"/>
        <w:rPr>
          <w:rFonts w:ascii="Avenir Next" w:eastAsia="Times New Roman" w:hAnsi="Avenir Next" w:cs="Arial"/>
          <w:sz w:val="18"/>
          <w:szCs w:val="18"/>
        </w:rPr>
      </w:pPr>
      <w:r>
        <w:rPr>
          <w:rFonts w:ascii="Avenir Next" w:hAnsi="Avenir Next"/>
          <w:sz w:val="18"/>
          <w:szCs w:val="18"/>
        </w:rPr>
        <w:t xml:space="preserve">Die Mission von Zenith besteht darin, Menschen dazu zu inspirieren, ihre Träume zu leben und wahr werden zu lassen – allen Widrigkeiten zum Trotz. Seit der Gründung der Marke im Jahr 1865 ist Zenith die erste Uhrenmanufaktur im modernen Sinne. Die Uhren der Marke haben außergewöhnliche Persönlichkeiten begleitet, die große Träume hatten und nach dem Unmöglichen strebten – von Louis Blériots historischem Flug über den Ärmelkanal bis hin zu Felix Baumgartners Rekordsprung im freien Fall aus der Stratosphäre. </w:t>
      </w:r>
    </w:p>
    <w:p w14:paraId="7D2F3C6B" w14:textId="77777777" w:rsidR="005D5892" w:rsidRPr="00AA1D1F" w:rsidRDefault="005D5892" w:rsidP="005D5892">
      <w:pPr>
        <w:jc w:val="both"/>
        <w:rPr>
          <w:rFonts w:ascii="Avenir Next" w:eastAsia="Times New Roman" w:hAnsi="Avenir Next" w:cs="Arial"/>
          <w:sz w:val="18"/>
          <w:szCs w:val="18"/>
        </w:rPr>
      </w:pPr>
    </w:p>
    <w:p w14:paraId="182DD381" w14:textId="77777777" w:rsidR="005D5892" w:rsidRPr="00AA1D1F" w:rsidRDefault="005D5892" w:rsidP="005D5892">
      <w:pPr>
        <w:jc w:val="both"/>
        <w:rPr>
          <w:rFonts w:ascii="Avenir Next" w:eastAsia="Times New Roman" w:hAnsi="Avenir Next" w:cs="Arial"/>
          <w:sz w:val="18"/>
          <w:szCs w:val="18"/>
        </w:rPr>
      </w:pPr>
      <w:r>
        <w:rPr>
          <w:rFonts w:ascii="Avenir Next" w:hAnsi="Avenir Next"/>
          <w:sz w:val="18"/>
          <w:szCs w:val="18"/>
        </w:rPr>
        <w:t>Unter dem Leitstern der Innovation stattet Zenith all seine Uhren mit außergewöhnlichen, im eigenen Haus entwickelten und gefertigten Uhrwerken aus. Vom ersten Automatikchronographen, der El Primero, über den schnellsten, auf die 1/100-Sekunde genauen Chronographen El Primero 21 bis zur Inventor, die das Regulierorgan revolutioniert, indem sie mehr als 30 Bauteile durch ein einziges, monolithisches Element ersetzt, verschiebt die Manufaktur immer wieder die Grenzen des Machbaren. Seit 1865 prägt Zenith die Zukunft der Schweizer Uhrenherstellung – als Begleiter aller, die es wagen, sich selbst herauszufordern und Hindernisse zu überwinden. Die Zeit nach Ihrem Stern zu greifen, ist gekommen.</w:t>
      </w:r>
    </w:p>
    <w:p w14:paraId="0F9D196B" w14:textId="39442113" w:rsidR="005D5892" w:rsidRDefault="005D5892">
      <w:pPr>
        <w:rPr>
          <w:rFonts w:ascii="Avenir Next" w:hAnsi="Avenir Next"/>
          <w:b/>
          <w:sz w:val="18"/>
          <w:szCs w:val="18"/>
        </w:rPr>
      </w:pPr>
    </w:p>
    <w:p w14:paraId="5D6F8A0D" w14:textId="47518E88" w:rsidR="00E41444" w:rsidRDefault="005D5892" w:rsidP="005D5892">
      <w:pPr>
        <w:jc w:val="both"/>
        <w:rPr>
          <w:rFonts w:ascii="Avenir Next" w:hAnsi="Avenir Next" w:cstheme="majorHAnsi"/>
          <w:b/>
          <w:szCs w:val="20"/>
        </w:rPr>
      </w:pPr>
      <w:r>
        <w:rPr>
          <w:rFonts w:ascii="Avenir Next" w:hAnsi="Avenir Next"/>
          <w:b/>
          <w:szCs w:val="20"/>
        </w:rPr>
        <w:lastRenderedPageBreak/>
        <w:t xml:space="preserve">DEFY 21 BLACK &amp; WHITE </w:t>
      </w:r>
    </w:p>
    <w:p w14:paraId="01F3953A" w14:textId="18DC7B36" w:rsidR="005D5892" w:rsidRPr="00AA1D1F" w:rsidRDefault="005D5892" w:rsidP="005D5892">
      <w:pPr>
        <w:jc w:val="both"/>
        <w:rPr>
          <w:rFonts w:ascii="Avenir Next" w:hAnsi="Avenir Next" w:cs="OpenSans-CondensedLight"/>
          <w:sz w:val="18"/>
          <w:szCs w:val="18"/>
        </w:rPr>
      </w:pPr>
      <w:r>
        <w:rPr>
          <w:rFonts w:ascii="Avenir Next" w:hAnsi="Avenir Next"/>
          <w:sz w:val="18"/>
          <w:szCs w:val="18"/>
        </w:rPr>
        <w:t>Referenznummer: 49.9007.9004/11.R923</w:t>
      </w:r>
    </w:p>
    <w:p w14:paraId="78B07D3A" w14:textId="77777777" w:rsidR="005D5892" w:rsidRPr="00254DF7" w:rsidRDefault="005D5892" w:rsidP="005D5892">
      <w:pPr>
        <w:jc w:val="both"/>
        <w:rPr>
          <w:rFonts w:ascii="Avenir Next" w:hAnsi="Avenir Next" w:cs="Arial"/>
          <w:color w:val="000000" w:themeColor="text1"/>
          <w:sz w:val="10"/>
        </w:rPr>
      </w:pPr>
    </w:p>
    <w:p w14:paraId="25C10BE4" w14:textId="22BEDBF1" w:rsidR="005D5892" w:rsidRPr="00AA1D1F" w:rsidRDefault="005D5892" w:rsidP="005D5892">
      <w:pPr>
        <w:autoSpaceDE w:val="0"/>
        <w:autoSpaceDN w:val="0"/>
        <w:adjustRightInd w:val="0"/>
        <w:spacing w:line="276" w:lineRule="auto"/>
        <w:rPr>
          <w:rFonts w:ascii="Avenir Next" w:hAnsi="Avenir Next" w:cs="OpenSans-CondensedLight"/>
          <w:sz w:val="18"/>
          <w:szCs w:val="18"/>
        </w:rPr>
      </w:pPr>
      <w:bookmarkStart w:id="1" w:name="_Hlk29295538"/>
      <w:r>
        <w:rPr>
          <w:noProof/>
        </w:rPr>
        <w:drawing>
          <wp:anchor distT="0" distB="0" distL="114300" distR="114300" simplePos="0" relativeHeight="251656192" behindDoc="1" locked="0" layoutInCell="1" allowOverlap="1" wp14:anchorId="5CD97F29" wp14:editId="66B958F3">
            <wp:simplePos x="0" y="0"/>
            <wp:positionH relativeFrom="column">
              <wp:posOffset>3893820</wp:posOffset>
            </wp:positionH>
            <wp:positionV relativeFrom="paragraph">
              <wp:posOffset>71120</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Pr>
          <w:rFonts w:ascii="Avenir Next" w:hAnsi="Avenir Next"/>
          <w:b/>
          <w:sz w:val="18"/>
          <w:szCs w:val="18"/>
        </w:rPr>
        <w:t>Alleinstellungsmerkmale:</w:t>
      </w:r>
      <w:r>
        <w:rPr>
          <w:rFonts w:ascii="Avenir Next" w:hAnsi="Avenir Next"/>
          <w:sz w:val="18"/>
          <w:szCs w:val="18"/>
        </w:rPr>
        <w:t xml:space="preserve"> 1/100-Sekunden-Chronographenwerk. Exklusives, dynamisches Erkennungszeichen: eine volle Umdrehung pro Sekunde. Eine Hemmung für die Zeitanzeige (36.000 Halbschwingungen pro Stunde – 5 Hz); eine Hemmung für den Chronographen (360.000 Halbschwingungen pro Stunde – 50 Hz). Von TIME LAB als Chronometer zertifiziert. </w:t>
      </w:r>
    </w:p>
    <w:p w14:paraId="79F1F0EF" w14:textId="42A9B25F" w:rsidR="005D5892" w:rsidRPr="00AA1D1F" w:rsidRDefault="005D5892" w:rsidP="005D589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Uhrwerk</w:t>
      </w:r>
      <w:r>
        <w:rPr>
          <w:rFonts w:ascii="Avenir Next" w:hAnsi="Avenir Next"/>
          <w:sz w:val="18"/>
          <w:szCs w:val="18"/>
        </w:rPr>
        <w:t xml:space="preserve">: Automatikwerk El Primero 9004 </w:t>
      </w:r>
    </w:p>
    <w:p w14:paraId="51B4E920" w14:textId="5275B5CD" w:rsidR="005D5892" w:rsidRPr="00AA1D1F" w:rsidRDefault="005D5892" w:rsidP="005D589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Frequenz</w:t>
      </w:r>
      <w:r>
        <w:rPr>
          <w:rFonts w:ascii="Avenir Next" w:hAnsi="Avenir Next"/>
          <w:sz w:val="18"/>
          <w:szCs w:val="18"/>
        </w:rPr>
        <w:t>: 36.000 Halbschwingungen pro Stunde (5 Hz)</w:t>
      </w:r>
      <w:r>
        <w:t xml:space="preserve"> </w:t>
      </w:r>
    </w:p>
    <w:p w14:paraId="24604479" w14:textId="77777777" w:rsidR="005D5892" w:rsidRPr="00C56CBB" w:rsidRDefault="005D5892" w:rsidP="005D589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Gangreserve</w:t>
      </w:r>
      <w:r>
        <w:rPr>
          <w:rFonts w:ascii="Avenir Next" w:hAnsi="Avenir Next"/>
          <w:sz w:val="18"/>
          <w:szCs w:val="18"/>
        </w:rPr>
        <w:t>: Ca. 50 Stunden</w:t>
      </w:r>
    </w:p>
    <w:p w14:paraId="1C2F9340" w14:textId="77777777" w:rsidR="005D5892" w:rsidRPr="00C56CBB" w:rsidRDefault="005D5892" w:rsidP="005D589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Funktionen</w:t>
      </w:r>
      <w:r>
        <w:rPr>
          <w:rFonts w:ascii="Avenir Next" w:hAnsi="Avenir Next"/>
          <w:sz w:val="18"/>
          <w:szCs w:val="18"/>
        </w:rPr>
        <w:t>: Chronographenwerk mit Anzeige der Hundertstelsekunden. Chronographen-Gangreserveanzeige bei 12 Uhr. Zentrale Stunden und Minuten. Kleine Sekunde bei 9 Uhr, zentraler Chronographenzeiger, 30-Minuten-Zähler bei 3 Uhr, 60-Sekunden-Zähler bei 6 Uhr</w:t>
      </w:r>
    </w:p>
    <w:p w14:paraId="6830C80D" w14:textId="57918AE4" w:rsidR="005D5892" w:rsidRPr="00C56CBB" w:rsidRDefault="005D5892" w:rsidP="005D589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w:t>
      </w:r>
      <w:r>
        <w:rPr>
          <w:rFonts w:ascii="Avenir Next" w:hAnsi="Avenir Next"/>
          <w:b/>
          <w:bCs/>
          <w:sz w:val="18"/>
          <w:szCs w:val="18"/>
        </w:rPr>
        <w:t>reis:</w:t>
      </w:r>
      <w:r>
        <w:rPr>
          <w:rFonts w:ascii="Avenir Next" w:hAnsi="Avenir Next"/>
          <w:sz w:val="18"/>
          <w:szCs w:val="18"/>
        </w:rPr>
        <w:t xml:space="preserve"> 13900 CHF</w:t>
      </w:r>
    </w:p>
    <w:p w14:paraId="327797B4" w14:textId="5EE69AE6" w:rsidR="005D5892" w:rsidRDefault="005D5892" w:rsidP="005D589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Material</w:t>
      </w:r>
      <w:r>
        <w:rPr>
          <w:rFonts w:ascii="Avenir Next" w:hAnsi="Avenir Next"/>
          <w:sz w:val="18"/>
          <w:szCs w:val="18"/>
        </w:rPr>
        <w:t>: Schwarze, matte Keramik mit weißer Keramiklünette</w:t>
      </w:r>
    </w:p>
    <w:p w14:paraId="706F0AED" w14:textId="4C56C49D" w:rsidR="00E41444" w:rsidRPr="00C56CBB" w:rsidRDefault="00E41444" w:rsidP="005D589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Gehäuse</w:t>
      </w:r>
      <w:r>
        <w:rPr>
          <w:rFonts w:ascii="DINOT-Light" w:hAnsi="DINOT-Light"/>
          <w:b/>
          <w:sz w:val="18"/>
          <w:szCs w:val="20"/>
        </w:rPr>
        <w:t xml:space="preserve"> 44mm</w:t>
      </w:r>
    </w:p>
    <w:p w14:paraId="5C630C0D" w14:textId="77777777" w:rsidR="00DD66BF" w:rsidRDefault="005D5892" w:rsidP="005D589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Zifferblatt</w:t>
      </w:r>
      <w:r>
        <w:rPr>
          <w:rFonts w:ascii="Avenir Next" w:hAnsi="Avenir Next"/>
          <w:sz w:val="18"/>
          <w:szCs w:val="18"/>
        </w:rPr>
        <w:t>: Skelettiert mit zwei verschiedenfarbigen Zählern</w:t>
      </w:r>
    </w:p>
    <w:p w14:paraId="7F0A7EAA" w14:textId="38743005" w:rsidR="00E41444" w:rsidRPr="00C56CBB" w:rsidRDefault="00E41444" w:rsidP="005D589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Wasserdichtigkeit</w:t>
      </w:r>
      <w:r>
        <w:rPr>
          <w:rFonts w:ascii="Avenir Next" w:hAnsi="Avenir Next"/>
          <w:sz w:val="18"/>
          <w:szCs w:val="18"/>
        </w:rPr>
        <w:t>: 10 ATM</w:t>
      </w:r>
    </w:p>
    <w:p w14:paraId="0311F184" w14:textId="19054381" w:rsidR="005D5892" w:rsidRPr="00C56CBB" w:rsidRDefault="005D5892" w:rsidP="005D589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Stundenin</w:t>
      </w:r>
      <w:r>
        <w:rPr>
          <w:rFonts w:ascii="Avenir Next" w:hAnsi="Avenir Next"/>
          <w:b/>
          <w:bCs/>
          <w:sz w:val="18"/>
          <w:szCs w:val="18"/>
        </w:rPr>
        <w:t>dizes:</w:t>
      </w:r>
      <w:r>
        <w:rPr>
          <w:rFonts w:ascii="Avenir Next" w:hAnsi="Avenir Next"/>
          <w:sz w:val="18"/>
          <w:szCs w:val="18"/>
        </w:rPr>
        <w:t xml:space="preserve"> Rhodiniert, facettiert und mit Super-LumiNova®SLN C1 beschichtet</w:t>
      </w:r>
    </w:p>
    <w:p w14:paraId="626AF864" w14:textId="3AD8E60A" w:rsidR="005D5892" w:rsidRPr="00C56CBB" w:rsidRDefault="005D5892" w:rsidP="005D589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Zeiger</w:t>
      </w:r>
      <w:r>
        <w:rPr>
          <w:rFonts w:ascii="Avenir Next" w:hAnsi="Avenir Next"/>
          <w:sz w:val="18"/>
          <w:szCs w:val="18"/>
        </w:rPr>
        <w:t>: Rhodiniert, facettiert und mit Super-LumiNova®SLN C1 beschichtet</w:t>
      </w:r>
    </w:p>
    <w:p w14:paraId="3CC81150" w14:textId="54648946" w:rsidR="005D5892" w:rsidRPr="006E57E9" w:rsidRDefault="005D5892" w:rsidP="005D589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Armband &amp; Schließe:</w:t>
      </w:r>
      <w:r>
        <w:rPr>
          <w:rFonts w:ascii="Avenir Next" w:hAnsi="Avenir Next"/>
          <w:sz w:val="18"/>
          <w:szCs w:val="18"/>
        </w:rPr>
        <w:t xml:space="preserve"> Schwarzer Kautschuk mit weißem „Cordura-Effekt“-Kautschuk. Doppelfaltschließe aus Titan </w:t>
      </w:r>
      <w:bookmarkEnd w:id="1"/>
      <w:r>
        <w:rPr>
          <w:rFonts w:ascii="Avenir Next" w:hAnsi="Avenir Next"/>
          <w:sz w:val="18"/>
          <w:szCs w:val="18"/>
        </w:rPr>
        <w:t xml:space="preserve">mit </w:t>
      </w:r>
      <w:r>
        <w:rPr>
          <w:rFonts w:ascii="Avenir Next" w:hAnsi="Avenir Next"/>
          <w:sz w:val="18"/>
          <w:szCs w:val="20"/>
        </w:rPr>
        <w:t>schwarzer DLC-Beschichtung.</w:t>
      </w:r>
    </w:p>
    <w:p w14:paraId="6096B455" w14:textId="77961E62" w:rsidR="005D5892" w:rsidRDefault="005D5892" w:rsidP="00F872F9">
      <w:pPr>
        <w:jc w:val="both"/>
        <w:rPr>
          <w:rFonts w:ascii="Avenir Next" w:hAnsi="Avenir Next"/>
          <w:b/>
          <w:sz w:val="18"/>
          <w:szCs w:val="18"/>
        </w:rPr>
      </w:pPr>
    </w:p>
    <w:p w14:paraId="0F39A80B" w14:textId="77777777" w:rsidR="002738CB" w:rsidRDefault="002738CB">
      <w:pPr>
        <w:rPr>
          <w:rFonts w:ascii="Avenir Next" w:hAnsi="Avenir Next" w:cstheme="majorHAnsi"/>
          <w:b/>
          <w:szCs w:val="20"/>
        </w:rPr>
      </w:pPr>
      <w:r>
        <w:br w:type="page"/>
      </w:r>
    </w:p>
    <w:p w14:paraId="55335C24" w14:textId="384BC16C" w:rsidR="00E41444" w:rsidRDefault="007451DE" w:rsidP="00F872F9">
      <w:pPr>
        <w:jc w:val="both"/>
        <w:rPr>
          <w:rFonts w:ascii="Avenir Next" w:hAnsi="Avenir Next" w:cstheme="majorHAnsi"/>
          <w:b/>
          <w:szCs w:val="20"/>
        </w:rPr>
      </w:pPr>
      <w:r>
        <w:rPr>
          <w:noProof/>
        </w:rPr>
        <w:lastRenderedPageBreak/>
        <w:drawing>
          <wp:anchor distT="0" distB="0" distL="114300" distR="114300" simplePos="0" relativeHeight="251657728" behindDoc="1" locked="0" layoutInCell="1" allowOverlap="1" wp14:anchorId="0352B481" wp14:editId="03A023C1">
            <wp:simplePos x="0" y="0"/>
            <wp:positionH relativeFrom="column">
              <wp:posOffset>3886200</wp:posOffset>
            </wp:positionH>
            <wp:positionV relativeFrom="paragraph">
              <wp:posOffset>48895</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Pr>
          <w:rFonts w:ascii="Avenir Next" w:hAnsi="Avenir Next"/>
          <w:b/>
          <w:szCs w:val="20"/>
        </w:rPr>
        <w:t xml:space="preserve">DEFY CLASSIC BLACK &amp; WHITE </w:t>
      </w:r>
    </w:p>
    <w:p w14:paraId="55188D1C" w14:textId="3372058D" w:rsidR="00E41444" w:rsidRDefault="00E41444" w:rsidP="00F872F9">
      <w:pPr>
        <w:jc w:val="both"/>
        <w:rPr>
          <w:rFonts w:ascii="Avenir Next" w:hAnsi="Avenir Next"/>
          <w:b/>
          <w:sz w:val="18"/>
          <w:szCs w:val="18"/>
        </w:rPr>
      </w:pPr>
      <w:r>
        <w:rPr>
          <w:rFonts w:ascii="Avenir Next" w:hAnsi="Avenir Next"/>
          <w:sz w:val="18"/>
          <w:szCs w:val="18"/>
        </w:rPr>
        <w:t>Referenznummer: 49.9005.670/11.R943</w:t>
      </w:r>
    </w:p>
    <w:p w14:paraId="2A3BF97A" w14:textId="66691E3B" w:rsidR="005D5892" w:rsidRPr="009E5108" w:rsidRDefault="005D5892" w:rsidP="00F872F9">
      <w:pPr>
        <w:jc w:val="both"/>
        <w:rPr>
          <w:rFonts w:ascii="Avenir Next" w:hAnsi="Avenir Next"/>
          <w:b/>
          <w:sz w:val="18"/>
          <w:szCs w:val="18"/>
        </w:rPr>
      </w:pPr>
    </w:p>
    <w:p w14:paraId="2E8BA21D" w14:textId="21A5E197" w:rsidR="005D5892" w:rsidRPr="009E5108" w:rsidRDefault="005D5892" w:rsidP="005D5892">
      <w:pPr>
        <w:spacing w:after="40" w:line="276" w:lineRule="auto"/>
        <w:rPr>
          <w:rFonts w:ascii="Avenir Next" w:hAnsi="Avenir Next" w:cs="Arial"/>
          <w:sz w:val="18"/>
          <w:szCs w:val="20"/>
        </w:rPr>
      </w:pPr>
      <w:r>
        <w:rPr>
          <w:rFonts w:ascii="Avenir Next" w:hAnsi="Avenir Next"/>
          <w:b/>
          <w:sz w:val="18"/>
          <w:szCs w:val="18"/>
        </w:rPr>
        <w:t>Alleinstellungsmerkmale:</w:t>
      </w:r>
      <w:r>
        <w:rPr>
          <w:rFonts w:ascii="Avenir Next" w:hAnsi="Avenir Next"/>
          <w:sz w:val="18"/>
          <w:szCs w:val="18"/>
        </w:rPr>
        <w:t xml:space="preserve"> </w:t>
      </w:r>
      <w:r>
        <w:rPr>
          <w:rFonts w:ascii="Avenir Next" w:hAnsi="Avenir Next"/>
          <w:sz w:val="18"/>
          <w:szCs w:val="20"/>
        </w:rPr>
        <w:t xml:space="preserve">Schwarzes 41mm-Keramikgehäuse. Hauseigenes skelettiertes Elite Uhrwerk. Hemmungsrad und Hebel aus Silizium. </w:t>
      </w:r>
    </w:p>
    <w:p w14:paraId="7D46DCB4" w14:textId="2050F224" w:rsidR="005D5892" w:rsidRPr="009E5108" w:rsidRDefault="005D5892" w:rsidP="005D5892">
      <w:pPr>
        <w:spacing w:after="40" w:line="276" w:lineRule="auto"/>
        <w:rPr>
          <w:rFonts w:ascii="Avenir Next" w:hAnsi="Avenir Next" w:cs="Arial"/>
          <w:sz w:val="18"/>
          <w:szCs w:val="20"/>
        </w:rPr>
      </w:pPr>
      <w:r>
        <w:rPr>
          <w:rFonts w:ascii="Avenir Next" w:hAnsi="Avenir Next"/>
          <w:b/>
          <w:sz w:val="18"/>
          <w:szCs w:val="18"/>
        </w:rPr>
        <w:t>Uhrwerk</w:t>
      </w:r>
      <w:r>
        <w:rPr>
          <w:rFonts w:ascii="Avenir Next" w:hAnsi="Avenir Next"/>
          <w:sz w:val="18"/>
        </w:rPr>
        <w:t xml:space="preserve">: </w:t>
      </w:r>
      <w:r>
        <w:rPr>
          <w:rFonts w:ascii="Avenir Next" w:hAnsi="Avenir Next"/>
          <w:sz w:val="18"/>
          <w:szCs w:val="20"/>
        </w:rPr>
        <w:t xml:space="preserve">Elite 670 SK, Automatik. </w:t>
      </w:r>
    </w:p>
    <w:p w14:paraId="228DDB1B" w14:textId="77777777" w:rsidR="005D5892" w:rsidRPr="009E5108" w:rsidRDefault="005D5892" w:rsidP="005D5892">
      <w:pPr>
        <w:spacing w:after="40" w:line="276" w:lineRule="auto"/>
        <w:rPr>
          <w:rFonts w:ascii="Avenir Next" w:hAnsi="Avenir Next" w:cs="Arial"/>
          <w:sz w:val="18"/>
          <w:szCs w:val="20"/>
        </w:rPr>
      </w:pPr>
      <w:r>
        <w:rPr>
          <w:rFonts w:ascii="Avenir Next" w:hAnsi="Avenir Next"/>
          <w:sz w:val="18"/>
          <w:szCs w:val="20"/>
        </w:rPr>
        <w:t>Frequenz: 28.800 Halbschwingungen pro Stunde (4Hz)</w:t>
      </w:r>
    </w:p>
    <w:p w14:paraId="5B240512" w14:textId="7D747C7F" w:rsidR="005D5892" w:rsidRPr="009E5108" w:rsidRDefault="005D5892" w:rsidP="005D5892">
      <w:pPr>
        <w:spacing w:after="40" w:line="276" w:lineRule="auto"/>
        <w:rPr>
          <w:rFonts w:ascii="Avenir Next" w:hAnsi="Avenir Next" w:cs="Arial"/>
          <w:sz w:val="18"/>
          <w:szCs w:val="20"/>
        </w:rPr>
      </w:pPr>
      <w:r>
        <w:rPr>
          <w:rFonts w:ascii="Avenir Next" w:hAnsi="Avenir Next"/>
          <w:sz w:val="18"/>
          <w:szCs w:val="20"/>
        </w:rPr>
        <w:t>Gangreserve: mind. 48 Stunden</w:t>
      </w:r>
    </w:p>
    <w:p w14:paraId="0BF019CC" w14:textId="5D42DD73" w:rsidR="005D5892" w:rsidRPr="009E5108" w:rsidRDefault="005D5892" w:rsidP="005D5892">
      <w:pPr>
        <w:spacing w:after="40" w:line="276" w:lineRule="auto"/>
        <w:rPr>
          <w:rFonts w:ascii="Avenir Next" w:hAnsi="Avenir Next" w:cs="Arial"/>
          <w:sz w:val="18"/>
          <w:szCs w:val="20"/>
        </w:rPr>
      </w:pPr>
      <w:r>
        <w:rPr>
          <w:rFonts w:ascii="Avenir Next" w:hAnsi="Avenir Next"/>
          <w:b/>
          <w:sz w:val="18"/>
        </w:rPr>
        <w:t>Funktionen</w:t>
      </w:r>
      <w:r>
        <w:rPr>
          <w:rFonts w:ascii="Avenir Next" w:hAnsi="Avenir Next"/>
          <w:sz w:val="18"/>
        </w:rPr>
        <w:t>:</w:t>
      </w:r>
      <w:r>
        <w:rPr>
          <w:rFonts w:ascii="Avenir Next" w:hAnsi="Avenir Next"/>
          <w:sz w:val="18"/>
          <w:szCs w:val="20"/>
        </w:rPr>
        <w:t xml:space="preserve"> Zentrale Stunden und Minuten. Zentraler Sekundenzeiger. Datumsanzeige bei 6 Uhr</w:t>
      </w:r>
    </w:p>
    <w:p w14:paraId="151A6A40" w14:textId="29E6F408" w:rsidR="005D5892" w:rsidRPr="009E5108" w:rsidRDefault="005D5892" w:rsidP="005D5892">
      <w:pPr>
        <w:spacing w:after="40" w:line="276" w:lineRule="auto"/>
        <w:rPr>
          <w:rFonts w:ascii="Avenir Next" w:hAnsi="Avenir Next" w:cs="Arial"/>
          <w:bCs/>
          <w:sz w:val="18"/>
          <w:szCs w:val="20"/>
        </w:rPr>
      </w:pPr>
      <w:r>
        <w:rPr>
          <w:rFonts w:ascii="Avenir Next" w:hAnsi="Avenir Next"/>
          <w:b/>
          <w:sz w:val="18"/>
          <w:szCs w:val="18"/>
        </w:rPr>
        <w:t>Preis</w:t>
      </w:r>
      <w:r>
        <w:rPr>
          <w:rFonts w:ascii="Avenir Next" w:hAnsi="Avenir Next"/>
          <w:sz w:val="18"/>
          <w:szCs w:val="18"/>
        </w:rPr>
        <w:t xml:space="preserve">: </w:t>
      </w:r>
      <w:r>
        <w:rPr>
          <w:rFonts w:ascii="Avenir Next" w:hAnsi="Avenir Next"/>
          <w:bCs/>
          <w:sz w:val="18"/>
          <w:szCs w:val="18"/>
        </w:rPr>
        <w:t>8400 CHF</w:t>
      </w:r>
    </w:p>
    <w:p w14:paraId="3F37D18E" w14:textId="4823C15F" w:rsidR="00E41444" w:rsidRPr="009E5108" w:rsidRDefault="005D5892" w:rsidP="00E41444">
      <w:pPr>
        <w:spacing w:after="40" w:line="276" w:lineRule="auto"/>
        <w:rPr>
          <w:rFonts w:ascii="Avenir Next" w:hAnsi="Avenir Next" w:cs="Arial"/>
          <w:b/>
          <w:sz w:val="18"/>
          <w:szCs w:val="20"/>
        </w:rPr>
      </w:pPr>
      <w:r>
        <w:rPr>
          <w:rFonts w:ascii="Avenir Next" w:hAnsi="Avenir Next"/>
          <w:b/>
          <w:sz w:val="18"/>
        </w:rPr>
        <w:t>Material</w:t>
      </w:r>
      <w:r>
        <w:rPr>
          <w:rFonts w:ascii="Avenir Next" w:hAnsi="Avenir Next"/>
          <w:sz w:val="18"/>
        </w:rPr>
        <w:t xml:space="preserve">: </w:t>
      </w:r>
      <w:r>
        <w:rPr>
          <w:rFonts w:ascii="Avenir Next" w:hAnsi="Avenir Next"/>
          <w:sz w:val="18"/>
          <w:szCs w:val="20"/>
        </w:rPr>
        <w:t>Schwarze, matte Keramik mit weißer Keramiklünette</w:t>
      </w:r>
    </w:p>
    <w:p w14:paraId="67CCDDCB" w14:textId="0272A051" w:rsidR="005D5892" w:rsidRPr="009E5108" w:rsidRDefault="00E41444" w:rsidP="005D5892">
      <w:pPr>
        <w:spacing w:after="40" w:line="276" w:lineRule="auto"/>
        <w:rPr>
          <w:rFonts w:ascii="Avenir Next" w:hAnsi="Avenir Next" w:cs="Arial"/>
          <w:b/>
          <w:sz w:val="18"/>
          <w:szCs w:val="20"/>
        </w:rPr>
      </w:pPr>
      <w:r>
        <w:rPr>
          <w:rFonts w:ascii="Avenir Next" w:hAnsi="Avenir Next"/>
          <w:b/>
          <w:sz w:val="18"/>
          <w:szCs w:val="18"/>
        </w:rPr>
        <w:t>Gehäuse:</w:t>
      </w:r>
      <w:r>
        <w:rPr>
          <w:rFonts w:ascii="Avenir Next" w:hAnsi="Avenir Next"/>
          <w:b/>
          <w:sz w:val="18"/>
          <w:szCs w:val="20"/>
        </w:rPr>
        <w:t xml:space="preserve"> </w:t>
      </w:r>
      <w:r>
        <w:rPr>
          <w:rFonts w:ascii="Avenir Next" w:hAnsi="Avenir Next"/>
          <w:sz w:val="18"/>
          <w:szCs w:val="20"/>
        </w:rPr>
        <w:t>41mm</w:t>
      </w:r>
    </w:p>
    <w:p w14:paraId="23298F48" w14:textId="5F9BB24F" w:rsidR="005D5892" w:rsidRPr="009E5108" w:rsidRDefault="005D5892" w:rsidP="005D5892">
      <w:pPr>
        <w:spacing w:after="40" w:line="276" w:lineRule="auto"/>
        <w:rPr>
          <w:rFonts w:ascii="Avenir Next" w:hAnsi="Avenir Next" w:cs="Arial"/>
          <w:sz w:val="18"/>
          <w:szCs w:val="20"/>
        </w:rPr>
      </w:pPr>
      <w:r>
        <w:rPr>
          <w:rFonts w:ascii="Avenir Next" w:hAnsi="Avenir Next"/>
          <w:b/>
          <w:sz w:val="18"/>
          <w:szCs w:val="18"/>
        </w:rPr>
        <w:t>Zifferblatt</w:t>
      </w:r>
      <w:r>
        <w:rPr>
          <w:rFonts w:ascii="Avenir Next" w:hAnsi="Avenir Next"/>
          <w:sz w:val="18"/>
          <w:szCs w:val="20"/>
        </w:rPr>
        <w:t xml:space="preserve">: Schwarz, durchbrochen </w:t>
      </w:r>
    </w:p>
    <w:p w14:paraId="52C84580" w14:textId="77777777" w:rsidR="00E41444" w:rsidRPr="009E5108" w:rsidRDefault="00E41444" w:rsidP="00E41444">
      <w:pPr>
        <w:spacing w:after="40" w:line="276" w:lineRule="auto"/>
        <w:rPr>
          <w:rFonts w:ascii="Avenir Next" w:hAnsi="Avenir Next" w:cs="Arial"/>
          <w:sz w:val="18"/>
          <w:szCs w:val="20"/>
        </w:rPr>
      </w:pPr>
      <w:r>
        <w:rPr>
          <w:rFonts w:ascii="Avenir Next" w:hAnsi="Avenir Next"/>
          <w:b/>
          <w:sz w:val="18"/>
          <w:szCs w:val="18"/>
        </w:rPr>
        <w:t>Wasserdichtigkeit</w:t>
      </w:r>
      <w:r>
        <w:rPr>
          <w:rFonts w:ascii="Avenir Next" w:hAnsi="Avenir Next"/>
          <w:sz w:val="18"/>
          <w:szCs w:val="18"/>
        </w:rPr>
        <w:t xml:space="preserve">: </w:t>
      </w:r>
      <w:r>
        <w:rPr>
          <w:rFonts w:ascii="Avenir Next" w:hAnsi="Avenir Next"/>
          <w:sz w:val="18"/>
          <w:szCs w:val="20"/>
        </w:rPr>
        <w:t>10 ATM</w:t>
      </w:r>
    </w:p>
    <w:p w14:paraId="0C6A7EB9" w14:textId="46A52916" w:rsidR="005D5892" w:rsidRPr="009E5108" w:rsidRDefault="005D5892" w:rsidP="005D5892">
      <w:pPr>
        <w:spacing w:after="40" w:line="276" w:lineRule="auto"/>
        <w:rPr>
          <w:rFonts w:ascii="Avenir Next" w:hAnsi="Avenir Next" w:cs="Arial"/>
          <w:sz w:val="18"/>
          <w:szCs w:val="20"/>
        </w:rPr>
      </w:pPr>
      <w:r>
        <w:rPr>
          <w:rFonts w:ascii="Avenir Next" w:hAnsi="Avenir Next"/>
          <w:b/>
          <w:bCs/>
          <w:sz w:val="18"/>
          <w:szCs w:val="20"/>
        </w:rPr>
        <w:t>Stundenindizes:</w:t>
      </w:r>
      <w:r>
        <w:rPr>
          <w:rFonts w:ascii="Avenir Next" w:hAnsi="Avenir Next"/>
          <w:sz w:val="18"/>
          <w:szCs w:val="20"/>
        </w:rPr>
        <w:t xml:space="preserve"> Rhodiniert, facettiert und mit Super-LumiNova® SLN C1 beschichtet</w:t>
      </w:r>
    </w:p>
    <w:p w14:paraId="59225983" w14:textId="29A5EE29" w:rsidR="005D5892" w:rsidRPr="009E5108" w:rsidRDefault="005D5892" w:rsidP="005D5892">
      <w:pPr>
        <w:spacing w:after="40" w:line="276" w:lineRule="auto"/>
        <w:rPr>
          <w:rFonts w:ascii="Avenir Next" w:hAnsi="Avenir Next" w:cs="Arial"/>
          <w:sz w:val="18"/>
          <w:szCs w:val="20"/>
        </w:rPr>
      </w:pPr>
      <w:r>
        <w:rPr>
          <w:rFonts w:ascii="Avenir Next" w:hAnsi="Avenir Next"/>
          <w:b/>
          <w:bCs/>
          <w:sz w:val="18"/>
          <w:szCs w:val="20"/>
        </w:rPr>
        <w:t>Zeiger</w:t>
      </w:r>
      <w:r>
        <w:rPr>
          <w:rFonts w:ascii="Avenir Next" w:hAnsi="Avenir Next"/>
          <w:sz w:val="18"/>
          <w:szCs w:val="20"/>
        </w:rPr>
        <w:t>: Rhodiniert, facettiert und mit Super-LumiNova® SLN C1 beschichtet</w:t>
      </w:r>
    </w:p>
    <w:p w14:paraId="09EC7A33" w14:textId="2A7DA6AD" w:rsidR="005D5892" w:rsidRPr="009E5108" w:rsidRDefault="00E41444" w:rsidP="005D5892">
      <w:pPr>
        <w:spacing w:after="40" w:line="276" w:lineRule="auto"/>
        <w:rPr>
          <w:rFonts w:ascii="Avenir Next" w:hAnsi="Avenir Next" w:cs="Arial"/>
          <w:sz w:val="18"/>
          <w:szCs w:val="20"/>
        </w:rPr>
      </w:pPr>
      <w:r>
        <w:rPr>
          <w:rFonts w:ascii="Avenir Next" w:hAnsi="Avenir Next"/>
          <w:b/>
          <w:sz w:val="18"/>
        </w:rPr>
        <w:t>Armband &amp; Schließe:</w:t>
      </w:r>
      <w:r>
        <w:rPr>
          <w:rFonts w:ascii="Avenir Next" w:hAnsi="Avenir Next"/>
          <w:sz w:val="18"/>
        </w:rPr>
        <w:t xml:space="preserve"> </w:t>
      </w:r>
      <w:r>
        <w:rPr>
          <w:rFonts w:ascii="Avenir Next" w:hAnsi="Avenir Next"/>
          <w:sz w:val="18"/>
          <w:szCs w:val="20"/>
        </w:rPr>
        <w:t>Schwarzer Kautschuk mit weißem „Cordura-Effekt“-Kautschuk. Doppelfaltschließe aus Titan mit schwarzer DLC-Beschichtung.</w:t>
      </w:r>
    </w:p>
    <w:p w14:paraId="5B630CEC" w14:textId="64026320" w:rsidR="005D5892" w:rsidRPr="009E5108" w:rsidRDefault="005D5892" w:rsidP="00F872F9">
      <w:pPr>
        <w:jc w:val="both"/>
        <w:rPr>
          <w:rFonts w:ascii="Avenir Next" w:hAnsi="Avenir Next"/>
          <w:b/>
          <w:sz w:val="18"/>
          <w:szCs w:val="18"/>
        </w:rPr>
      </w:pPr>
    </w:p>
    <w:sectPr w:rsidR="005D5892" w:rsidRPr="009E5108"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B8655" w14:textId="77777777" w:rsidR="00D46FED" w:rsidRDefault="00D46FED" w:rsidP="00E41444">
      <w:r>
        <w:separator/>
      </w:r>
    </w:p>
  </w:endnote>
  <w:endnote w:type="continuationSeparator" w:id="0">
    <w:p w14:paraId="4CD704DC" w14:textId="77777777" w:rsidR="00D46FED" w:rsidRDefault="00D46FED" w:rsidP="00E4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INOT-Light">
    <w:altName w:val="Calibri"/>
    <w:panose1 w:val="020B0504020101010102"/>
    <w:charset w:val="00"/>
    <w:family w:val="swiss"/>
    <w:notTrueType/>
    <w:pitch w:val="variable"/>
    <w:sig w:usb0="800000EF" w:usb1="4000A47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2022" w14:textId="77777777" w:rsidR="00CB3C1F" w:rsidRPr="00DD43FC" w:rsidRDefault="00CB3C1F" w:rsidP="00E41444">
    <w:pPr>
      <w:pStyle w:val="Pieddepage"/>
      <w:jc w:val="center"/>
      <w:rPr>
        <w:rFonts w:ascii="Avenir Next" w:hAnsi="Avenir Next"/>
        <w:sz w:val="18"/>
        <w:szCs w:val="18"/>
        <w:lang w:val="fr-FR"/>
      </w:rPr>
    </w:pPr>
    <w:r>
      <w:tab/>
    </w:r>
    <w:r w:rsidRPr="00DD43FC">
      <w:rPr>
        <w:rFonts w:ascii="Avenir Next" w:hAnsi="Avenir Next"/>
        <w:b/>
        <w:sz w:val="18"/>
        <w:szCs w:val="18"/>
        <w:lang w:val="fr-FR"/>
      </w:rPr>
      <w:t>ZENITH</w:t>
    </w:r>
    <w:r w:rsidRPr="00DD43FC">
      <w:rPr>
        <w:rFonts w:ascii="Avenir Next" w:hAnsi="Avenir Next"/>
        <w:sz w:val="18"/>
        <w:szCs w:val="18"/>
        <w:lang w:val="fr-FR"/>
      </w:rPr>
      <w:t xml:space="preserve"> | www.zenith-watches.com | Rue des Billodes 34-36 | CH-2400 Le Locle</w:t>
    </w:r>
  </w:p>
  <w:p w14:paraId="6914254A" w14:textId="3349A785" w:rsidR="00CB3C1F" w:rsidRPr="00E41444" w:rsidRDefault="00CB3C1F" w:rsidP="00E41444">
    <w:pPr>
      <w:pStyle w:val="Pieddepage"/>
      <w:jc w:val="center"/>
      <w:rPr>
        <w:rFonts w:ascii="Avenir Next" w:hAnsi="Avenir Next"/>
        <w:sz w:val="18"/>
        <w:szCs w:val="18"/>
      </w:rPr>
    </w:pPr>
    <w:r>
      <w:t xml:space="preserve">Internationale Medienarbeit – E-Mail: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C96F3" w14:textId="77777777" w:rsidR="00D46FED" w:rsidRDefault="00D46FED" w:rsidP="00E41444">
      <w:r>
        <w:separator/>
      </w:r>
    </w:p>
  </w:footnote>
  <w:footnote w:type="continuationSeparator" w:id="0">
    <w:p w14:paraId="55A86917" w14:textId="77777777" w:rsidR="00D46FED" w:rsidRDefault="00D46FED" w:rsidP="00E41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5FC13" w14:textId="67EF5107" w:rsidR="00CB3C1F" w:rsidRDefault="00CB3C1F" w:rsidP="00E41444">
    <w:pPr>
      <w:pStyle w:val="En-tte"/>
      <w:jc w:val="center"/>
    </w:pPr>
    <w:r>
      <w:rPr>
        <w:noProof/>
      </w:rPr>
      <w:drawing>
        <wp:inline distT="0" distB="0" distL="0" distR="0" wp14:anchorId="16C539DA" wp14:editId="274911D6">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3046583" w14:textId="77777777" w:rsidR="00CB3C1F" w:rsidRDefault="00CB3C1F" w:rsidP="00E4144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FB1"/>
    <w:rsid w:val="00007690"/>
    <w:rsid w:val="000203DD"/>
    <w:rsid w:val="00067F47"/>
    <w:rsid w:val="000E6E3B"/>
    <w:rsid w:val="0016428F"/>
    <w:rsid w:val="0019386F"/>
    <w:rsid w:val="001A2954"/>
    <w:rsid w:val="001A58A0"/>
    <w:rsid w:val="001A6673"/>
    <w:rsid w:val="001D287B"/>
    <w:rsid w:val="00200990"/>
    <w:rsid w:val="00254DF7"/>
    <w:rsid w:val="00257343"/>
    <w:rsid w:val="002738CB"/>
    <w:rsid w:val="00284C5D"/>
    <w:rsid w:val="002D401A"/>
    <w:rsid w:val="00343566"/>
    <w:rsid w:val="00375A41"/>
    <w:rsid w:val="0038326D"/>
    <w:rsid w:val="00392C8B"/>
    <w:rsid w:val="00406DB2"/>
    <w:rsid w:val="00457BE9"/>
    <w:rsid w:val="004779C7"/>
    <w:rsid w:val="004E10F2"/>
    <w:rsid w:val="00503127"/>
    <w:rsid w:val="0055162F"/>
    <w:rsid w:val="00576818"/>
    <w:rsid w:val="00584DDF"/>
    <w:rsid w:val="005B10B5"/>
    <w:rsid w:val="005D5892"/>
    <w:rsid w:val="0068572A"/>
    <w:rsid w:val="00694426"/>
    <w:rsid w:val="00696DDA"/>
    <w:rsid w:val="007017A0"/>
    <w:rsid w:val="00737B83"/>
    <w:rsid w:val="007451DE"/>
    <w:rsid w:val="0079150E"/>
    <w:rsid w:val="007B62A6"/>
    <w:rsid w:val="007C24D3"/>
    <w:rsid w:val="0080279D"/>
    <w:rsid w:val="008065ED"/>
    <w:rsid w:val="0085575E"/>
    <w:rsid w:val="00862DFC"/>
    <w:rsid w:val="008B4FB1"/>
    <w:rsid w:val="0090251D"/>
    <w:rsid w:val="00936515"/>
    <w:rsid w:val="00943AC4"/>
    <w:rsid w:val="0097101E"/>
    <w:rsid w:val="009B15AA"/>
    <w:rsid w:val="009C0D70"/>
    <w:rsid w:val="009D6870"/>
    <w:rsid w:val="009E5108"/>
    <w:rsid w:val="009F2408"/>
    <w:rsid w:val="00A125C2"/>
    <w:rsid w:val="00A16BA2"/>
    <w:rsid w:val="00A77AEC"/>
    <w:rsid w:val="00AB460E"/>
    <w:rsid w:val="00B21701"/>
    <w:rsid w:val="00B4027A"/>
    <w:rsid w:val="00B47417"/>
    <w:rsid w:val="00B51FCD"/>
    <w:rsid w:val="00C447EC"/>
    <w:rsid w:val="00CB3C1F"/>
    <w:rsid w:val="00CE288E"/>
    <w:rsid w:val="00CE3CF3"/>
    <w:rsid w:val="00D3776E"/>
    <w:rsid w:val="00D46FED"/>
    <w:rsid w:val="00D61DDE"/>
    <w:rsid w:val="00D83529"/>
    <w:rsid w:val="00DD43FC"/>
    <w:rsid w:val="00DD66BF"/>
    <w:rsid w:val="00E02CFF"/>
    <w:rsid w:val="00E41444"/>
    <w:rsid w:val="00E965C8"/>
    <w:rsid w:val="00EA509E"/>
    <w:rsid w:val="00F01428"/>
    <w:rsid w:val="00F03472"/>
    <w:rsid w:val="00F81DC0"/>
    <w:rsid w:val="00F872F9"/>
    <w:rsid w:val="00F91E7E"/>
    <w:rsid w:val="00FD71EB"/>
    <w:rsid w:val="00FE30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01AC33"/>
  <w14:defaultImageDpi w14:val="300"/>
  <w15:docId w15:val="{D863859E-5AAC-4C08-BCCC-514BA82E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872F9"/>
    <w:rPr>
      <w:sz w:val="16"/>
      <w:szCs w:val="16"/>
    </w:rPr>
  </w:style>
  <w:style w:type="paragraph" w:styleId="Commentaire">
    <w:name w:val="annotation text"/>
    <w:basedOn w:val="Normal"/>
    <w:link w:val="CommentaireCar"/>
    <w:uiPriority w:val="99"/>
    <w:semiHidden/>
    <w:unhideWhenUsed/>
    <w:rsid w:val="00F872F9"/>
    <w:rPr>
      <w:sz w:val="20"/>
      <w:szCs w:val="20"/>
    </w:rPr>
  </w:style>
  <w:style w:type="character" w:customStyle="1" w:styleId="CommentaireCar">
    <w:name w:val="Commentaire Car"/>
    <w:basedOn w:val="Policepardfaut"/>
    <w:link w:val="Commentaire"/>
    <w:uiPriority w:val="99"/>
    <w:semiHidden/>
    <w:rsid w:val="00F872F9"/>
    <w:rPr>
      <w:sz w:val="20"/>
      <w:szCs w:val="20"/>
    </w:rPr>
  </w:style>
  <w:style w:type="paragraph" w:styleId="Objetducommentaire">
    <w:name w:val="annotation subject"/>
    <w:basedOn w:val="Commentaire"/>
    <w:next w:val="Commentaire"/>
    <w:link w:val="ObjetducommentaireCar"/>
    <w:uiPriority w:val="99"/>
    <w:semiHidden/>
    <w:unhideWhenUsed/>
    <w:rsid w:val="00F872F9"/>
    <w:rPr>
      <w:b/>
      <w:bCs/>
    </w:rPr>
  </w:style>
  <w:style w:type="character" w:customStyle="1" w:styleId="ObjetducommentaireCar">
    <w:name w:val="Objet du commentaire Car"/>
    <w:basedOn w:val="CommentaireCar"/>
    <w:link w:val="Objetducommentaire"/>
    <w:uiPriority w:val="99"/>
    <w:semiHidden/>
    <w:rsid w:val="00F872F9"/>
    <w:rPr>
      <w:b/>
      <w:bCs/>
      <w:sz w:val="20"/>
      <w:szCs w:val="20"/>
    </w:rPr>
  </w:style>
  <w:style w:type="paragraph" w:styleId="Textedebulles">
    <w:name w:val="Balloon Text"/>
    <w:basedOn w:val="Normal"/>
    <w:link w:val="TextedebullesCar"/>
    <w:uiPriority w:val="99"/>
    <w:semiHidden/>
    <w:unhideWhenUsed/>
    <w:rsid w:val="00F872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72F9"/>
    <w:rPr>
      <w:rFonts w:ascii="Segoe UI" w:hAnsi="Segoe UI" w:cs="Segoe UI"/>
      <w:sz w:val="18"/>
      <w:szCs w:val="18"/>
    </w:rPr>
  </w:style>
  <w:style w:type="paragraph" w:styleId="En-tte">
    <w:name w:val="header"/>
    <w:basedOn w:val="Normal"/>
    <w:link w:val="En-tteCar"/>
    <w:uiPriority w:val="99"/>
    <w:unhideWhenUsed/>
    <w:rsid w:val="00E41444"/>
    <w:pPr>
      <w:tabs>
        <w:tab w:val="center" w:pos="4536"/>
        <w:tab w:val="right" w:pos="9072"/>
      </w:tabs>
    </w:pPr>
  </w:style>
  <w:style w:type="character" w:customStyle="1" w:styleId="En-tteCar">
    <w:name w:val="En-tête Car"/>
    <w:basedOn w:val="Policepardfaut"/>
    <w:link w:val="En-tte"/>
    <w:uiPriority w:val="99"/>
    <w:rsid w:val="00E41444"/>
  </w:style>
  <w:style w:type="paragraph" w:styleId="Pieddepage">
    <w:name w:val="footer"/>
    <w:basedOn w:val="Normal"/>
    <w:link w:val="PieddepageCar"/>
    <w:uiPriority w:val="99"/>
    <w:unhideWhenUsed/>
    <w:rsid w:val="00E41444"/>
    <w:pPr>
      <w:tabs>
        <w:tab w:val="center" w:pos="4536"/>
        <w:tab w:val="right" w:pos="9072"/>
      </w:tabs>
    </w:pPr>
  </w:style>
  <w:style w:type="character" w:customStyle="1" w:styleId="PieddepageCar">
    <w:name w:val="Pied de page Car"/>
    <w:basedOn w:val="Policepardfaut"/>
    <w:link w:val="Pieddepage"/>
    <w:uiPriority w:val="99"/>
    <w:rsid w:val="00E41444"/>
  </w:style>
  <w:style w:type="character" w:styleId="Lienhypertexte">
    <w:name w:val="Hyperlink"/>
    <w:rsid w:val="00E41444"/>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230734">
      <w:bodyDiv w:val="1"/>
      <w:marLeft w:val="0"/>
      <w:marRight w:val="0"/>
      <w:marTop w:val="0"/>
      <w:marBottom w:val="0"/>
      <w:divBdr>
        <w:top w:val="none" w:sz="0" w:space="0" w:color="auto"/>
        <w:left w:val="none" w:sz="0" w:space="0" w:color="auto"/>
        <w:bottom w:val="none" w:sz="0" w:space="0" w:color="auto"/>
        <w:right w:val="none" w:sz="0" w:space="0" w:color="auto"/>
      </w:divBdr>
    </w:div>
    <w:div w:id="1236088693">
      <w:bodyDiv w:val="1"/>
      <w:marLeft w:val="0"/>
      <w:marRight w:val="0"/>
      <w:marTop w:val="0"/>
      <w:marBottom w:val="0"/>
      <w:divBdr>
        <w:top w:val="none" w:sz="0" w:space="0" w:color="auto"/>
        <w:left w:val="none" w:sz="0" w:space="0" w:color="auto"/>
        <w:bottom w:val="none" w:sz="0" w:space="0" w:color="auto"/>
        <w:right w:val="none" w:sz="0" w:space="0" w:color="auto"/>
      </w:divBdr>
    </w:div>
    <w:div w:id="1388799075">
      <w:bodyDiv w:val="1"/>
      <w:marLeft w:val="0"/>
      <w:marRight w:val="0"/>
      <w:marTop w:val="0"/>
      <w:marBottom w:val="0"/>
      <w:divBdr>
        <w:top w:val="none" w:sz="0" w:space="0" w:color="auto"/>
        <w:left w:val="none" w:sz="0" w:space="0" w:color="auto"/>
        <w:bottom w:val="none" w:sz="0" w:space="0" w:color="auto"/>
        <w:right w:val="none" w:sz="0" w:space="0" w:color="auto"/>
      </w:divBdr>
    </w:div>
    <w:div w:id="1461193772">
      <w:bodyDiv w:val="1"/>
      <w:marLeft w:val="0"/>
      <w:marRight w:val="0"/>
      <w:marTop w:val="0"/>
      <w:marBottom w:val="0"/>
      <w:divBdr>
        <w:top w:val="none" w:sz="0" w:space="0" w:color="auto"/>
        <w:left w:val="none" w:sz="0" w:space="0" w:color="auto"/>
        <w:bottom w:val="none" w:sz="0" w:space="0" w:color="auto"/>
        <w:right w:val="none" w:sz="0" w:space="0" w:color="auto"/>
      </w:divBdr>
    </w:div>
    <w:div w:id="1469854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851</Words>
  <Characters>4683</Characters>
  <Application>Microsoft Office Word</Application>
  <DocSecurity>0</DocSecurity>
  <Lines>39</Lines>
  <Paragraphs>11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Lost In Time Sàrl</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dcterms:created xsi:type="dcterms:W3CDTF">2020-07-06T08:34:00Z</dcterms:created>
  <dcterms:modified xsi:type="dcterms:W3CDTF">2020-08-20T08:25:00Z</dcterms:modified>
</cp:coreProperties>
</file>