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A02E0" w14:textId="4F716681" w:rsidR="005C012E" w:rsidRDefault="008D6E7A" w:rsidP="00190DED">
      <w:pPr>
        <w:jc w:val="center"/>
        <w:rPr>
          <w:rFonts w:ascii="Avenir Next" w:hAnsi="Avenir Next"/>
          <w:b/>
          <w:sz w:val="22"/>
          <w:szCs w:val="22"/>
        </w:rPr>
      </w:pPr>
      <w:r>
        <w:rPr>
          <w:rFonts w:ascii="Avenir Next" w:hAnsi="Avenir Next"/>
          <w:b/>
          <w:sz w:val="22"/>
          <w:szCs w:val="22"/>
        </w:rPr>
        <w:t xml:space="preserve">CROMATISMI IN MOVIMENTO: CON </w:t>
      </w:r>
      <w:proofErr w:type="spellStart"/>
      <w:r>
        <w:rPr>
          <w:rFonts w:ascii="Avenir Next" w:hAnsi="Avenir Next"/>
          <w:b/>
          <w:sz w:val="22"/>
          <w:szCs w:val="22"/>
        </w:rPr>
        <w:t>DEFY</w:t>
      </w:r>
      <w:proofErr w:type="spellEnd"/>
      <w:r>
        <w:rPr>
          <w:rFonts w:ascii="Avenir Next" w:hAnsi="Avenir Next"/>
          <w:b/>
          <w:sz w:val="22"/>
          <w:szCs w:val="22"/>
        </w:rPr>
        <w:t xml:space="preserve"> 21 </w:t>
      </w:r>
      <w:proofErr w:type="spellStart"/>
      <w:r>
        <w:rPr>
          <w:rFonts w:ascii="Avenir Next" w:hAnsi="Avenir Next"/>
          <w:b/>
          <w:sz w:val="22"/>
          <w:szCs w:val="22"/>
        </w:rPr>
        <w:t>ULTRABLUE</w:t>
      </w:r>
      <w:proofErr w:type="spellEnd"/>
      <w:r>
        <w:rPr>
          <w:rFonts w:ascii="Avenir Next" w:hAnsi="Avenir Next"/>
          <w:b/>
          <w:sz w:val="22"/>
          <w:szCs w:val="22"/>
        </w:rPr>
        <w:t xml:space="preserve"> </w:t>
      </w:r>
    </w:p>
    <w:p w14:paraId="7D3F0474" w14:textId="4FF1092E" w:rsidR="002371D2" w:rsidRPr="00AA1D1F" w:rsidRDefault="008D6E7A" w:rsidP="00190DED">
      <w:pPr>
        <w:jc w:val="center"/>
        <w:rPr>
          <w:rFonts w:ascii="Avenir Next" w:hAnsi="Avenir Next"/>
          <w:b/>
          <w:sz w:val="22"/>
          <w:szCs w:val="22"/>
        </w:rPr>
      </w:pPr>
      <w:r>
        <w:rPr>
          <w:rFonts w:ascii="Avenir Next" w:hAnsi="Avenir Next"/>
          <w:b/>
          <w:sz w:val="22"/>
          <w:szCs w:val="22"/>
        </w:rPr>
        <w:t>ZENITH ESPLORA LE FREQUENZE DELLA LUCE  E DEL MOVIMENTO</w:t>
      </w:r>
    </w:p>
    <w:p w14:paraId="759AD54A" w14:textId="77777777" w:rsidR="002371D2" w:rsidRPr="004D29AA" w:rsidRDefault="002371D2" w:rsidP="00190DED">
      <w:pPr>
        <w:rPr>
          <w:rFonts w:ascii="Avenir Next" w:hAnsi="Avenir Next"/>
          <w:sz w:val="6"/>
          <w:szCs w:val="6"/>
        </w:rPr>
      </w:pPr>
    </w:p>
    <w:p w14:paraId="4FF58187" w14:textId="77777777" w:rsidR="00F52210" w:rsidRPr="004D29AA" w:rsidRDefault="00F52210" w:rsidP="00190DED">
      <w:pPr>
        <w:rPr>
          <w:rFonts w:ascii="Avenir Next" w:hAnsi="Avenir Next"/>
          <w:sz w:val="18"/>
          <w:szCs w:val="18"/>
        </w:rPr>
      </w:pPr>
    </w:p>
    <w:p w14:paraId="36070955" w14:textId="1CFBEBB3" w:rsidR="00CA087A" w:rsidRPr="00AA1D1F" w:rsidRDefault="00BE66CC" w:rsidP="00CA087A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Sempre fiera di esprimere la sua visione unica dell’arte orologiera del futuro, la Manifattura Zenith continua a evidenziare il concetto di precisione ad alta frequenza attraverso creazioni straordinarie all’interno del suo cronografo con precisione di lettura a</w:t>
      </w:r>
      <w:r w:rsidR="00F743D6">
        <w:rPr>
          <w:rFonts w:ascii="Avenir Next" w:hAnsi="Avenir Next"/>
          <w:sz w:val="18"/>
          <w:szCs w:val="18"/>
        </w:rPr>
        <w:t>l</w:t>
      </w:r>
      <w:r>
        <w:rPr>
          <w:rFonts w:ascii="Avenir Next" w:hAnsi="Avenir Next"/>
          <w:sz w:val="18"/>
          <w:szCs w:val="18"/>
        </w:rPr>
        <w:t xml:space="preserve"> 1/100 di secondo: </w:t>
      </w:r>
      <w:proofErr w:type="spellStart"/>
      <w:r>
        <w:rPr>
          <w:rFonts w:ascii="Avenir Next" w:hAnsi="Avenir Next"/>
          <w:sz w:val="18"/>
          <w:szCs w:val="18"/>
        </w:rPr>
        <w:t>DEFY</w:t>
      </w:r>
      <w:proofErr w:type="spellEnd"/>
      <w:r>
        <w:rPr>
          <w:rFonts w:ascii="Avenir Next" w:hAnsi="Avenir Next"/>
          <w:sz w:val="18"/>
          <w:szCs w:val="18"/>
        </w:rPr>
        <w:t xml:space="preserve"> 21. Questa esperienza di trasposizione delle alte frequenze di oscillazione in singole zone dello spettro luminoso visibile è iniziata nel 2020 con </w:t>
      </w:r>
      <w:proofErr w:type="spellStart"/>
      <w:r>
        <w:rPr>
          <w:rFonts w:ascii="Avenir Next" w:hAnsi="Avenir Next"/>
          <w:sz w:val="18"/>
          <w:szCs w:val="18"/>
        </w:rPr>
        <w:t>DEFY</w:t>
      </w:r>
      <w:proofErr w:type="spellEnd"/>
      <w:r>
        <w:rPr>
          <w:rFonts w:ascii="Avenir Next" w:hAnsi="Avenir Next"/>
          <w:sz w:val="18"/>
          <w:szCs w:val="18"/>
        </w:rPr>
        <w:t xml:space="preserve"> 21 </w:t>
      </w:r>
      <w:proofErr w:type="spellStart"/>
      <w:r>
        <w:rPr>
          <w:rFonts w:ascii="Avenir Next" w:hAnsi="Avenir Next"/>
          <w:sz w:val="18"/>
          <w:szCs w:val="18"/>
        </w:rPr>
        <w:t>Ultraviolet</w:t>
      </w:r>
      <w:proofErr w:type="spellEnd"/>
      <w:r>
        <w:rPr>
          <w:rFonts w:ascii="Avenir Next" w:hAnsi="Avenir Next"/>
          <w:sz w:val="18"/>
          <w:szCs w:val="18"/>
        </w:rPr>
        <w:t>. Il modello presenta il primo movimento cronograf</w:t>
      </w:r>
      <w:r w:rsidR="002904A9">
        <w:rPr>
          <w:rFonts w:ascii="Avenir Next" w:hAnsi="Avenir Next"/>
          <w:sz w:val="18"/>
          <w:szCs w:val="18"/>
        </w:rPr>
        <w:t>ic</w:t>
      </w:r>
      <w:r>
        <w:rPr>
          <w:rFonts w:ascii="Avenir Next" w:hAnsi="Avenir Next"/>
          <w:sz w:val="18"/>
          <w:szCs w:val="18"/>
        </w:rPr>
        <w:t xml:space="preserve">o al mondo di colore viola, una tonalità che spicca sulla cassa essenziale in titanio opaco sabbiato.  Adesso, Zenith applica lo stesso straordinario effetto nei toni freddi dell’indaco intenso e del blu elettrico con </w:t>
      </w:r>
      <w:proofErr w:type="spellStart"/>
      <w:r>
        <w:rPr>
          <w:rFonts w:ascii="Avenir Next" w:hAnsi="Avenir Next"/>
          <w:b/>
          <w:bCs/>
          <w:sz w:val="18"/>
          <w:szCs w:val="18"/>
        </w:rPr>
        <w:t>DEFY</w:t>
      </w:r>
      <w:proofErr w:type="spellEnd"/>
      <w:r>
        <w:rPr>
          <w:rFonts w:ascii="Avenir Next" w:hAnsi="Avenir Next"/>
          <w:b/>
          <w:bCs/>
          <w:sz w:val="18"/>
          <w:szCs w:val="18"/>
        </w:rPr>
        <w:t xml:space="preserve"> 21 </w:t>
      </w:r>
      <w:proofErr w:type="spellStart"/>
      <w:r>
        <w:rPr>
          <w:rFonts w:ascii="Avenir Next" w:hAnsi="Avenir Next"/>
          <w:b/>
          <w:bCs/>
          <w:sz w:val="18"/>
          <w:szCs w:val="18"/>
        </w:rPr>
        <w:t>Ultrablue</w:t>
      </w:r>
      <w:proofErr w:type="spellEnd"/>
      <w:r>
        <w:rPr>
          <w:rFonts w:ascii="Avenir Next" w:hAnsi="Avenir Next"/>
          <w:sz w:val="18"/>
          <w:szCs w:val="18"/>
        </w:rPr>
        <w:t>.</w:t>
      </w:r>
    </w:p>
    <w:p w14:paraId="244D123E" w14:textId="77777777" w:rsidR="003672E3" w:rsidRPr="004D29AA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BC1A778" w14:textId="3E182CD5" w:rsidR="003672E3" w:rsidRPr="00BE66CC" w:rsidRDefault="007005F1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Il colore blu occupa un posto speciale nella tradizione Zenith. Blu era il cielo notturno stellato al quale il fondatore della Manifattura, Georges-Favre </w:t>
      </w:r>
      <w:proofErr w:type="spellStart"/>
      <w:r>
        <w:rPr>
          <w:rFonts w:ascii="Avenir Next" w:hAnsi="Avenir Next"/>
          <w:sz w:val="18"/>
          <w:szCs w:val="18"/>
        </w:rPr>
        <w:t>Jacot</w:t>
      </w:r>
      <w:proofErr w:type="spellEnd"/>
      <w:r>
        <w:rPr>
          <w:rFonts w:ascii="Avenir Next" w:hAnsi="Avenir Next"/>
          <w:sz w:val="18"/>
          <w:szCs w:val="18"/>
        </w:rPr>
        <w:t>, si è ispirato per dare il nome al suo pluripremiato calibro e, infine, al suo marchio. Più recentemente, è stato uno dei colori caratteristici dell’A386, uno dei primi orologi dotati del leggendario calibro cronograf</w:t>
      </w:r>
      <w:r w:rsidR="002904A9">
        <w:rPr>
          <w:rFonts w:ascii="Avenir Next" w:hAnsi="Avenir Next"/>
          <w:sz w:val="18"/>
          <w:szCs w:val="18"/>
        </w:rPr>
        <w:t>ic</w:t>
      </w:r>
      <w:r>
        <w:rPr>
          <w:rFonts w:ascii="Avenir Next" w:hAnsi="Avenir Next"/>
          <w:sz w:val="18"/>
          <w:szCs w:val="18"/>
        </w:rPr>
        <w:t xml:space="preserve">o automatico ad alta frequenza El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. Il colore blu è stato anche ampiamente esplorato dalla Manifattura nei suoi orologi più complessi, divenendo un tratto inconfondibile della </w:t>
      </w:r>
      <w:r>
        <w:rPr>
          <w:rFonts w:ascii="Avenir Next" w:hAnsi="Avenir Next"/>
          <w:i/>
          <w:iCs/>
          <w:sz w:val="18"/>
          <w:szCs w:val="18"/>
        </w:rPr>
        <w:t xml:space="preserve">haute </w:t>
      </w:r>
      <w:proofErr w:type="spellStart"/>
      <w:r>
        <w:rPr>
          <w:rFonts w:ascii="Avenir Next" w:hAnsi="Avenir Next"/>
          <w:i/>
          <w:iCs/>
          <w:sz w:val="18"/>
          <w:szCs w:val="18"/>
        </w:rPr>
        <w:t>horlogerie</w:t>
      </w:r>
      <w:proofErr w:type="spellEnd"/>
      <w:r>
        <w:rPr>
          <w:rFonts w:ascii="Avenir Next" w:hAnsi="Avenir Next"/>
          <w:sz w:val="18"/>
          <w:szCs w:val="18"/>
        </w:rPr>
        <w:t xml:space="preserve"> futuristica di Zenith.</w:t>
      </w:r>
    </w:p>
    <w:p w14:paraId="346878C3" w14:textId="0BFD1909" w:rsidR="003672E3" w:rsidRPr="004D29AA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A27530B" w14:textId="7509C532" w:rsidR="00190DED" w:rsidRPr="00AA1D1F" w:rsidRDefault="00FA2B02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Parzialmente aperto, il quadrante presenta contatori cronografici chiusi leggermente sovrapposti, rifiniti in una tonalità di grigio che si abbina perfettamente al grigio intenso della cassa con elementi bianchi a contrasto per la massima leggibilità. Caratterizzato da un colore blu vivace, il movimento è accentuato dalla concezione esclusiva e dal design all’avanguardia del movimento DEFY 21, con ponti aperti e “angolari”. Caratterizzata da una punta bianca, la lancetta centrale del cronografo con precisione di lettura al 1/100 di secondo effettua un giro completo del quadrante nell’arco di un secondo. </w:t>
      </w:r>
    </w:p>
    <w:p w14:paraId="26EDADAE" w14:textId="11A993F5" w:rsidR="003672E3" w:rsidRPr="004D29AA" w:rsidRDefault="003672E3" w:rsidP="00190DED">
      <w:pPr>
        <w:jc w:val="both"/>
        <w:rPr>
          <w:rFonts w:ascii="Avenir Next" w:hAnsi="Avenir Next"/>
          <w:sz w:val="18"/>
          <w:szCs w:val="18"/>
        </w:rPr>
      </w:pPr>
    </w:p>
    <w:p w14:paraId="318E4D22" w14:textId="078DF10C" w:rsidR="00CF560F" w:rsidRDefault="003672E3" w:rsidP="00190DED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La cassa sfaccettata di 44 mm in titanio d</w:t>
      </w:r>
      <w:r w:rsidR="00B23194">
        <w:rPr>
          <w:rFonts w:ascii="Avenir Next" w:hAnsi="Avenir Next"/>
          <w:sz w:val="18"/>
          <w:szCs w:val="18"/>
        </w:rPr>
        <w:t xml:space="preserve">i </w:t>
      </w:r>
      <w:proofErr w:type="spellStart"/>
      <w:r>
        <w:rPr>
          <w:rFonts w:ascii="Avenir Next" w:hAnsi="Avenir Next"/>
          <w:sz w:val="18"/>
          <w:szCs w:val="18"/>
        </w:rPr>
        <w:t>DEFY</w:t>
      </w:r>
      <w:proofErr w:type="spellEnd"/>
      <w:r>
        <w:rPr>
          <w:rFonts w:ascii="Avenir Next" w:hAnsi="Avenir Next"/>
          <w:sz w:val="18"/>
          <w:szCs w:val="18"/>
        </w:rPr>
        <w:t xml:space="preserve"> valorizza decisamente i ponti blu del movimento creando un contrasto sorprendente, e presenta una finitura opaca interamente sabbiata, che enfatizza maggiormente le sfumature metallizzate più scure del titanio e che assorbe la maggior parte della luce che colpisce la superficie. A completare le tonalità del movimento aperto, un cinturino in caucciù nero che presenta un inserto in caucciù blu effetto “</w:t>
      </w:r>
      <w:proofErr w:type="spellStart"/>
      <w:r>
        <w:rPr>
          <w:rFonts w:ascii="Avenir Next" w:hAnsi="Avenir Next"/>
          <w:sz w:val="18"/>
          <w:szCs w:val="18"/>
        </w:rPr>
        <w:t>Cordura</w:t>
      </w:r>
      <w:proofErr w:type="spellEnd"/>
      <w:r>
        <w:rPr>
          <w:rFonts w:ascii="Avenir Next" w:hAnsi="Avenir Next"/>
          <w:sz w:val="18"/>
          <w:szCs w:val="18"/>
        </w:rPr>
        <w:t>” con impunture coordinate.</w:t>
      </w:r>
    </w:p>
    <w:p w14:paraId="4372C58E" w14:textId="12DF0A0D" w:rsidR="007005F1" w:rsidRPr="004D29AA" w:rsidRDefault="007005F1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119A6BD" w14:textId="36680415" w:rsidR="007005F1" w:rsidRPr="007078B2" w:rsidRDefault="00FA2B02" w:rsidP="007078B2">
      <w:pPr>
        <w:jc w:val="both"/>
        <w:rPr>
          <w:rFonts w:ascii="Avenir Next" w:hAnsi="Avenir Next" w:cs="Times New Roman"/>
          <w:sz w:val="18"/>
          <w:szCs w:val="18"/>
        </w:rPr>
      </w:pPr>
      <w:proofErr w:type="spellStart"/>
      <w:r>
        <w:rPr>
          <w:rFonts w:ascii="Avenir Next" w:hAnsi="Avenir Next"/>
          <w:sz w:val="18"/>
          <w:szCs w:val="18"/>
        </w:rPr>
        <w:t>DEFY</w:t>
      </w:r>
      <w:proofErr w:type="spellEnd"/>
      <w:r>
        <w:rPr>
          <w:rFonts w:ascii="Avenir Next" w:hAnsi="Avenir Next"/>
          <w:sz w:val="18"/>
          <w:szCs w:val="18"/>
        </w:rPr>
        <w:t xml:space="preserve"> 21 </w:t>
      </w:r>
      <w:proofErr w:type="spellStart"/>
      <w:r>
        <w:rPr>
          <w:rFonts w:ascii="Avenir Next" w:hAnsi="Avenir Next"/>
          <w:sz w:val="18"/>
          <w:szCs w:val="18"/>
        </w:rPr>
        <w:t>Ultrablue</w:t>
      </w:r>
      <w:proofErr w:type="spellEnd"/>
      <w:r>
        <w:rPr>
          <w:rFonts w:ascii="Avenir Next" w:hAnsi="Avenir Next"/>
          <w:sz w:val="18"/>
          <w:szCs w:val="18"/>
        </w:rPr>
        <w:t xml:space="preserve"> sarà disponibile presso le boutique Zenith di tutto il mondo</w:t>
      </w:r>
      <w:r w:rsidR="00B23194">
        <w:rPr>
          <w:rFonts w:ascii="Avenir Next" w:hAnsi="Avenir Next"/>
          <w:sz w:val="18"/>
          <w:szCs w:val="18"/>
        </w:rPr>
        <w:t xml:space="preserve"> e presso le </w:t>
      </w:r>
      <w:r>
        <w:rPr>
          <w:rFonts w:ascii="Avenir Next" w:hAnsi="Avenir Next"/>
          <w:sz w:val="18"/>
          <w:szCs w:val="18"/>
        </w:rPr>
        <w:t xml:space="preserve">boutique online locali, a partire da marzo 2021. </w:t>
      </w:r>
    </w:p>
    <w:p w14:paraId="14B75A63" w14:textId="59134CD3" w:rsidR="00CF560F" w:rsidRPr="004D29AA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47728B9" w14:textId="7A621486" w:rsidR="00CF560F" w:rsidRPr="004D29AA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1FBA5849" w14:textId="73113CF2" w:rsidR="00D37F7B" w:rsidRDefault="00D37F7B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775C0CE4" w14:textId="77777777" w:rsidR="00CF560F" w:rsidRPr="004D29AA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86B7049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ZENITH: È TEMPO DI PUNTARE ALLE STELLE.</w:t>
      </w:r>
    </w:p>
    <w:p w14:paraId="0CBF6276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530F65A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</w:t>
      </w:r>
      <w:proofErr w:type="spellStart"/>
      <w:r>
        <w:rPr>
          <w:rFonts w:ascii="Avenir Next" w:hAnsi="Avenir Next"/>
          <w:sz w:val="18"/>
          <w:szCs w:val="18"/>
        </w:rPr>
        <w:t>Blériot</w:t>
      </w:r>
      <w:proofErr w:type="spellEnd"/>
      <w:r>
        <w:rPr>
          <w:rFonts w:ascii="Avenir Next" w:hAnsi="Avenir Next"/>
          <w:sz w:val="18"/>
          <w:szCs w:val="18"/>
        </w:rPr>
        <w:t xml:space="preserve"> con la sua traversata aerea del Canale della Manica fino a Felix </w:t>
      </w:r>
      <w:proofErr w:type="spellStart"/>
      <w:r>
        <w:rPr>
          <w:rFonts w:ascii="Avenir Next" w:hAnsi="Avenir Next"/>
          <w:sz w:val="18"/>
          <w:szCs w:val="18"/>
        </w:rPr>
        <w:t>Baumgartner</w:t>
      </w:r>
      <w:proofErr w:type="spellEnd"/>
      <w:r>
        <w:rPr>
          <w:rFonts w:ascii="Avenir Next" w:hAnsi="Avenir Next"/>
          <w:sz w:val="18"/>
          <w:szCs w:val="18"/>
        </w:rPr>
        <w:t xml:space="preserve"> con il suo record mondiale di salto dalla stratosfera. </w:t>
      </w:r>
    </w:p>
    <w:p w14:paraId="626797FC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725205FA" w14:textId="3494D40A" w:rsidR="00EE5680" w:rsidRDefault="00CF560F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Guidata come sempre dall’innovazione, Zenith si distingue per gli eccezionali movimenti sviluppati e realizzati in-house che alimentano tutti i suoi orologi. Come dimostrano El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ed El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21, rispettivamente il primo cronografo automatico e il cronografo più rapido al mondo con precisione al 1/100 di secondo, senza dimenticare l’Inventor, che ha reinventato l’organo regolatore sostituendo gli oltre trenta componenti con un unico elemento monolitico, la Manifattura tende da sempre a spingersi costantemente oltre i limiti del possibile. Zenith ha saputo dare forma al futuro dell’orologeria svizzera fin dal 1865, sostenendo tutti coloro che hanno osato – e osano tuttora – sfidare il tempo e superare le barriere. È tempo di puntare alle stelle!</w:t>
      </w:r>
    </w:p>
    <w:p w14:paraId="4C97463E" w14:textId="77777777" w:rsidR="00EE5680" w:rsidRDefault="00EE5680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626EA4B8" w14:textId="232F70F6" w:rsidR="00EE5680" w:rsidRPr="000F6411" w:rsidRDefault="00EE5680" w:rsidP="00EE5680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  <w:szCs w:val="20"/>
        </w:rPr>
        <w:lastRenderedPageBreak/>
        <w:t>DEFY 21 ULTRABLUE</w:t>
      </w:r>
    </w:p>
    <w:p w14:paraId="4E7A781B" w14:textId="6E0D5B5D" w:rsidR="00EE5680" w:rsidRDefault="008457ED" w:rsidP="00EE5680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E174B4" wp14:editId="1AFA17DD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sz w:val="18"/>
          <w:szCs w:val="18"/>
        </w:rPr>
        <w:t>Referenza: 97.9001.9004/81.R946</w:t>
      </w:r>
    </w:p>
    <w:p w14:paraId="63B0DB93" w14:textId="670548E7" w:rsidR="00EE5680" w:rsidRPr="000F6411" w:rsidRDefault="00EE5680" w:rsidP="00EE5680">
      <w:pPr>
        <w:jc w:val="both"/>
        <w:rPr>
          <w:rFonts w:ascii="Avenir Next" w:hAnsi="Avenir Next" w:cs="Arial"/>
          <w:sz w:val="16"/>
          <w:szCs w:val="36"/>
        </w:rPr>
      </w:pPr>
    </w:p>
    <w:p w14:paraId="4B5E8118" w14:textId="5E95AB15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Punti chiave:</w:t>
      </w:r>
      <w:r>
        <w:rPr>
          <w:rFonts w:ascii="Avenir Next" w:hAnsi="Avenir Next"/>
          <w:sz w:val="18"/>
          <w:szCs w:val="18"/>
        </w:rPr>
        <w:t xml:space="preserve"> Movimento cronografico con precisione di lettura al 1/100 di secondo. Ritmo dinamico esclusivo di una rotazione al secondo. 1 scappamento per l’orologio (36.000 A/ora - 5 Hz); 1 scappamento per il cronografo (360.000 A/ora - 50 Hz). Cronometro con certificazione. </w:t>
      </w:r>
    </w:p>
    <w:p w14:paraId="038B5508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Movimento:</w:t>
      </w:r>
      <w:r>
        <w:rPr>
          <w:rFonts w:ascii="Avenir Next" w:hAnsi="Avenir Next"/>
          <w:sz w:val="18"/>
          <w:szCs w:val="18"/>
        </w:rPr>
        <w:t xml:space="preserve"> El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9004 automatico </w:t>
      </w:r>
    </w:p>
    <w:p w14:paraId="1349C92F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Frequenza</w:t>
      </w:r>
      <w:r>
        <w:rPr>
          <w:rFonts w:ascii="Avenir Next" w:hAnsi="Avenir Next"/>
          <w:sz w:val="18"/>
          <w:szCs w:val="18"/>
        </w:rPr>
        <w:t xml:space="preserve"> 36.000 A/ora (5 Hz)</w:t>
      </w:r>
      <w:r>
        <w:t xml:space="preserve"> </w:t>
      </w:r>
    </w:p>
    <w:p w14:paraId="10B7C92C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Riserva di carica</w:t>
      </w:r>
      <w:r>
        <w:rPr>
          <w:rFonts w:ascii="Avenir Next" w:hAnsi="Avenir Next"/>
          <w:sz w:val="18"/>
          <w:szCs w:val="18"/>
        </w:rPr>
        <w:t xml:space="preserve"> minimo 50 ore</w:t>
      </w:r>
    </w:p>
    <w:p w14:paraId="75AD6031" w14:textId="386FBF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Funzioni:</w:t>
      </w:r>
      <w:r>
        <w:rPr>
          <w:rFonts w:ascii="Avenir Next" w:hAnsi="Avenir Next"/>
          <w:sz w:val="18"/>
          <w:szCs w:val="18"/>
        </w:rPr>
        <w:t xml:space="preserve"> Funzioni cronografiche con precisione di lettura al 1/100 di secondo. Indicazione della riserva di carica del cronografo a ore 12. ore e minuti al centro. Piccoli secondi a ore 9, lancetta del cronografo al centro, contatore dei 30 minuti a ore 3, contatore dei 60 secondi a ore 6</w:t>
      </w:r>
    </w:p>
    <w:p w14:paraId="17503562" w14:textId="19D52A3F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Finiture:</w:t>
      </w:r>
      <w:r>
        <w:rPr>
          <w:rFonts w:ascii="Avenir Next" w:hAnsi="Avenir Next"/>
          <w:sz w:val="18"/>
          <w:szCs w:val="18"/>
        </w:rPr>
        <w:t xml:space="preserve">  Platina principale blu sul movimento Speciale massa oscillante blu con finiture satinate.</w:t>
      </w:r>
    </w:p>
    <w:p w14:paraId="7B1CB48F" w14:textId="123D95B6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Prezzo</w:t>
      </w:r>
      <w:r>
        <w:rPr>
          <w:rFonts w:ascii="Avenir Next" w:hAnsi="Avenir Next"/>
          <w:sz w:val="18"/>
          <w:szCs w:val="18"/>
        </w:rPr>
        <w:t xml:space="preserve"> 13400 CHF</w:t>
      </w:r>
    </w:p>
    <w:p w14:paraId="1747C87D" w14:textId="6E5431B6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Materiale:</w:t>
      </w:r>
      <w:r>
        <w:rPr>
          <w:rFonts w:ascii="Avenir Next" w:hAnsi="Avenir Next"/>
          <w:sz w:val="18"/>
          <w:szCs w:val="18"/>
        </w:rPr>
        <w:t xml:space="preserve"> Titanio </w:t>
      </w:r>
      <w:proofErr w:type="spellStart"/>
      <w:r>
        <w:rPr>
          <w:rFonts w:ascii="Avenir Next" w:hAnsi="Avenir Next"/>
          <w:sz w:val="18"/>
          <w:szCs w:val="18"/>
        </w:rPr>
        <w:t>microsabbiato</w:t>
      </w:r>
      <w:proofErr w:type="spellEnd"/>
    </w:p>
    <w:p w14:paraId="37E324AC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Impermeabilità:</w:t>
      </w:r>
      <w:r>
        <w:rPr>
          <w:rFonts w:ascii="Avenir Next" w:hAnsi="Avenir Next"/>
          <w:sz w:val="18"/>
          <w:szCs w:val="18"/>
        </w:rPr>
        <w:t xml:space="preserve"> 10 ATM</w:t>
      </w:r>
    </w:p>
    <w:p w14:paraId="2002BC58" w14:textId="7495D124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Quadrante:</w:t>
      </w:r>
      <w:r>
        <w:rPr>
          <w:rFonts w:ascii="Avenir Next" w:hAnsi="Avenir Next"/>
          <w:sz w:val="18"/>
          <w:szCs w:val="18"/>
        </w:rPr>
        <w:t xml:space="preserve"> Scheletrato con contatori grigi</w:t>
      </w:r>
    </w:p>
    <w:p w14:paraId="240037FD" w14:textId="171EB482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Indici delle ore:</w:t>
      </w:r>
      <w:r>
        <w:rPr>
          <w:rFonts w:ascii="Avenir Next" w:hAnsi="Avenir Next"/>
          <w:sz w:val="18"/>
          <w:szCs w:val="18"/>
        </w:rPr>
        <w:t xml:space="preserve"> Placcati rodio, sfaccettati e rivestiti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SLN</w:t>
      </w:r>
      <w:proofErr w:type="spellEnd"/>
      <w:r>
        <w:rPr>
          <w:rFonts w:ascii="Avenir Next" w:hAnsi="Avenir Next"/>
          <w:sz w:val="18"/>
          <w:szCs w:val="18"/>
        </w:rPr>
        <w:t xml:space="preserve"> C1</w:t>
      </w:r>
    </w:p>
    <w:p w14:paraId="3770AB58" w14:textId="3D557D5C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  <w:szCs w:val="18"/>
        </w:rPr>
        <w:t>Lancette:</w:t>
      </w:r>
      <w:r>
        <w:rPr>
          <w:rFonts w:ascii="Avenir Next" w:hAnsi="Avenir Next"/>
          <w:sz w:val="18"/>
          <w:szCs w:val="18"/>
        </w:rPr>
        <w:t xml:space="preserve"> Placcate rodio, sfaccettate e rivestite di Super-</w:t>
      </w:r>
      <w:proofErr w:type="spellStart"/>
      <w:r>
        <w:rPr>
          <w:rFonts w:ascii="Avenir Next" w:hAnsi="Avenir Next"/>
          <w:sz w:val="18"/>
          <w:szCs w:val="18"/>
        </w:rPr>
        <w:t>LumiNova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SLN</w:t>
      </w:r>
      <w:proofErr w:type="spellEnd"/>
      <w:r>
        <w:rPr>
          <w:rFonts w:ascii="Avenir Next" w:hAnsi="Avenir Next"/>
          <w:sz w:val="18"/>
          <w:szCs w:val="18"/>
        </w:rPr>
        <w:t xml:space="preserve"> C1</w:t>
      </w:r>
    </w:p>
    <w:p w14:paraId="786A1EEA" w14:textId="4437DBF4" w:rsidR="00EE5680" w:rsidRPr="000F6411" w:rsidRDefault="00EE5680" w:rsidP="00EE5680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Bracciale e fibbia:</w:t>
      </w:r>
      <w:r>
        <w:rPr>
          <w:rFonts w:ascii="Avenir Next" w:hAnsi="Avenir Next"/>
          <w:sz w:val="18"/>
          <w:szCs w:val="18"/>
        </w:rPr>
        <w:t xml:space="preserve"> </w:t>
      </w:r>
      <w:r w:rsidRPr="004D29AA">
        <w:rPr>
          <w:rFonts w:ascii="Avenir Next" w:hAnsi="Avenir Next"/>
          <w:sz w:val="18"/>
          <w:szCs w:val="18"/>
        </w:rPr>
        <w:t>Caucciù nero con effetto “</w:t>
      </w:r>
      <w:proofErr w:type="spellStart"/>
      <w:r w:rsidRPr="004D29AA">
        <w:rPr>
          <w:rFonts w:ascii="Avenir Next" w:hAnsi="Avenir Next"/>
          <w:sz w:val="18"/>
          <w:szCs w:val="18"/>
        </w:rPr>
        <w:t>Cordura</w:t>
      </w:r>
      <w:proofErr w:type="spellEnd"/>
      <w:r w:rsidRPr="004D29AA">
        <w:rPr>
          <w:rFonts w:ascii="Avenir Next" w:hAnsi="Avenir Next"/>
          <w:sz w:val="18"/>
          <w:szCs w:val="18"/>
        </w:rPr>
        <w:t xml:space="preserve">” </w:t>
      </w:r>
      <w:proofErr w:type="spellStart"/>
      <w:r w:rsidRPr="004D29AA">
        <w:rPr>
          <w:rFonts w:ascii="Avenir Next" w:hAnsi="Avenir Next"/>
          <w:sz w:val="18"/>
          <w:szCs w:val="18"/>
        </w:rPr>
        <w:t>ultrablue</w:t>
      </w:r>
      <w:proofErr w:type="spellEnd"/>
      <w:r w:rsidRPr="004D29AA">
        <w:rPr>
          <w:rFonts w:ascii="Avenir Next" w:hAnsi="Avenir Next"/>
          <w:sz w:val="18"/>
          <w:szCs w:val="18"/>
        </w:rPr>
        <w:t>.</w:t>
      </w:r>
      <w:r>
        <w:rPr>
          <w:rFonts w:ascii="Avenir Next" w:hAnsi="Avenir Next"/>
          <w:sz w:val="18"/>
          <w:szCs w:val="18"/>
        </w:rPr>
        <w:t xml:space="preserve"> Doppia fibbia </w:t>
      </w:r>
      <w:proofErr w:type="spellStart"/>
      <w:r>
        <w:rPr>
          <w:rFonts w:ascii="Avenir Next" w:hAnsi="Avenir Next"/>
          <w:sz w:val="18"/>
          <w:szCs w:val="18"/>
        </w:rPr>
        <w:t>déployante</w:t>
      </w:r>
      <w:proofErr w:type="spellEnd"/>
      <w:r>
        <w:rPr>
          <w:rFonts w:ascii="Avenir Next" w:hAnsi="Avenir Next"/>
          <w:sz w:val="18"/>
          <w:szCs w:val="18"/>
        </w:rPr>
        <w:t xml:space="preserve"> in titanio </w:t>
      </w:r>
      <w:proofErr w:type="spellStart"/>
      <w:r>
        <w:rPr>
          <w:rFonts w:ascii="Avenir Next" w:hAnsi="Avenir Next"/>
          <w:sz w:val="18"/>
          <w:szCs w:val="18"/>
        </w:rPr>
        <w:t>microsabbiato</w:t>
      </w:r>
      <w:proofErr w:type="spellEnd"/>
      <w:r>
        <w:rPr>
          <w:rFonts w:ascii="Avenir Next" w:hAnsi="Avenir Next"/>
          <w:sz w:val="18"/>
          <w:szCs w:val="18"/>
        </w:rPr>
        <w:t xml:space="preserve">. </w:t>
      </w:r>
    </w:p>
    <w:p w14:paraId="1A30EFF2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</w:p>
    <w:p w14:paraId="6271D0FB" w14:textId="77777777" w:rsidR="00EE5680" w:rsidRPr="000F6411" w:rsidRDefault="00EE5680" w:rsidP="00EE5680">
      <w:pPr>
        <w:jc w:val="both"/>
        <w:rPr>
          <w:rFonts w:ascii="Avenir Next" w:hAnsi="Avenir Next"/>
          <w:sz w:val="18"/>
          <w:szCs w:val="18"/>
        </w:rPr>
      </w:pPr>
    </w:p>
    <w:p w14:paraId="26054E2D" w14:textId="77777777" w:rsidR="0084011E" w:rsidRPr="00BE66CC" w:rsidRDefault="0084011E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sectPr w:rsidR="0084011E" w:rsidRPr="00BE66CC" w:rsidSect="00D61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DFAF9" w14:textId="77777777" w:rsidR="008317E6" w:rsidRDefault="008317E6" w:rsidP="00857B46">
      <w:r>
        <w:separator/>
      </w:r>
    </w:p>
  </w:endnote>
  <w:endnote w:type="continuationSeparator" w:id="0">
    <w:p w14:paraId="54717BD9" w14:textId="77777777" w:rsidR="008317E6" w:rsidRDefault="008317E6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E7253" w14:textId="77777777" w:rsidR="004D29AA" w:rsidRDefault="004D29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72D94" w14:textId="77777777" w:rsidR="00857B46" w:rsidRPr="004D29AA" w:rsidRDefault="00857B46" w:rsidP="00857B46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4D29AA">
      <w:rPr>
        <w:rFonts w:ascii="Avenir Next" w:hAnsi="Avenir Next"/>
        <w:b/>
        <w:sz w:val="18"/>
        <w:szCs w:val="18"/>
        <w:lang w:val="fr-FR"/>
      </w:rPr>
      <w:t>ZENITH</w:t>
    </w:r>
    <w:r w:rsidRPr="004D29AA">
      <w:rPr>
        <w:rFonts w:ascii="Avenir Next" w:hAnsi="Avenir Next"/>
        <w:sz w:val="18"/>
        <w:szCs w:val="18"/>
        <w:lang w:val="fr-FR"/>
      </w:rPr>
      <w:t xml:space="preserve"> | www.zenith-watches.com | Rue des </w:t>
    </w:r>
    <w:proofErr w:type="spellStart"/>
    <w:r w:rsidRPr="004D29AA">
      <w:rPr>
        <w:rFonts w:ascii="Avenir Next" w:hAnsi="Avenir Next"/>
        <w:sz w:val="18"/>
        <w:szCs w:val="18"/>
        <w:lang w:val="fr-FR"/>
      </w:rPr>
      <w:t>Billodes</w:t>
    </w:r>
    <w:proofErr w:type="spellEnd"/>
    <w:r w:rsidRPr="004D29AA">
      <w:rPr>
        <w:rFonts w:ascii="Avenir Next" w:hAnsi="Avenir Next"/>
        <w:sz w:val="18"/>
        <w:szCs w:val="18"/>
        <w:lang w:val="fr-FR"/>
      </w:rPr>
      <w:t xml:space="preserve"> 34-36 | CH-2400 Le Locle</w:t>
    </w:r>
  </w:p>
  <w:p w14:paraId="5BCFEAB4" w14:textId="17F4DF66" w:rsidR="00857B46" w:rsidRPr="00857B46" w:rsidRDefault="00857B46" w:rsidP="00857B46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International Media Relations - Indirizzo e-mail: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F2ABB" w14:textId="77777777" w:rsidR="004D29AA" w:rsidRDefault="004D29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117E6" w14:textId="77777777" w:rsidR="008317E6" w:rsidRDefault="008317E6" w:rsidP="00857B46">
      <w:r>
        <w:separator/>
      </w:r>
    </w:p>
  </w:footnote>
  <w:footnote w:type="continuationSeparator" w:id="0">
    <w:p w14:paraId="35A9F1CE" w14:textId="77777777" w:rsidR="008317E6" w:rsidRDefault="008317E6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429D5" w14:textId="77777777" w:rsidR="004D29AA" w:rsidRDefault="004D29A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AB9C7" w14:textId="795ED0DC" w:rsidR="00857B46" w:rsidRDefault="00857B46" w:rsidP="00857B46">
    <w:pPr>
      <w:pStyle w:val="En-tte"/>
      <w:jc w:val="center"/>
    </w:pPr>
    <w:r>
      <w:rPr>
        <w:noProof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B179F" w14:textId="77777777" w:rsidR="004D29AA" w:rsidRDefault="004D29A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0E15"/>
    <w:multiLevelType w:val="hybridMultilevel"/>
    <w:tmpl w:val="B72A3D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FD"/>
    <w:rsid w:val="000200CA"/>
    <w:rsid w:val="00020412"/>
    <w:rsid w:val="0002649D"/>
    <w:rsid w:val="00053DDF"/>
    <w:rsid w:val="001205A4"/>
    <w:rsid w:val="00150CE5"/>
    <w:rsid w:val="00190DED"/>
    <w:rsid w:val="002371D2"/>
    <w:rsid w:val="002511D3"/>
    <w:rsid w:val="002904A9"/>
    <w:rsid w:val="002B58FA"/>
    <w:rsid w:val="00326EB8"/>
    <w:rsid w:val="003672E3"/>
    <w:rsid w:val="00441EB5"/>
    <w:rsid w:val="004D0385"/>
    <w:rsid w:val="004D29AA"/>
    <w:rsid w:val="004D5842"/>
    <w:rsid w:val="00515576"/>
    <w:rsid w:val="00556C5A"/>
    <w:rsid w:val="005A55D6"/>
    <w:rsid w:val="005B5CF1"/>
    <w:rsid w:val="005C012E"/>
    <w:rsid w:val="00636728"/>
    <w:rsid w:val="007005F1"/>
    <w:rsid w:val="007078B2"/>
    <w:rsid w:val="007133FB"/>
    <w:rsid w:val="00777B59"/>
    <w:rsid w:val="00810286"/>
    <w:rsid w:val="0081773E"/>
    <w:rsid w:val="008317E6"/>
    <w:rsid w:val="0083595F"/>
    <w:rsid w:val="0084011E"/>
    <w:rsid w:val="008406A2"/>
    <w:rsid w:val="008457ED"/>
    <w:rsid w:val="00857B46"/>
    <w:rsid w:val="008B46D5"/>
    <w:rsid w:val="008D6E7A"/>
    <w:rsid w:val="008D7C82"/>
    <w:rsid w:val="009315FD"/>
    <w:rsid w:val="00964FBA"/>
    <w:rsid w:val="009C7C5A"/>
    <w:rsid w:val="00A03109"/>
    <w:rsid w:val="00AA1D1F"/>
    <w:rsid w:val="00B15291"/>
    <w:rsid w:val="00B21701"/>
    <w:rsid w:val="00B2248F"/>
    <w:rsid w:val="00B23194"/>
    <w:rsid w:val="00B5023C"/>
    <w:rsid w:val="00B57995"/>
    <w:rsid w:val="00BB126E"/>
    <w:rsid w:val="00BD24C2"/>
    <w:rsid w:val="00BD726A"/>
    <w:rsid w:val="00BE66CC"/>
    <w:rsid w:val="00C27B7C"/>
    <w:rsid w:val="00CA087A"/>
    <w:rsid w:val="00CA3C0C"/>
    <w:rsid w:val="00CA488F"/>
    <w:rsid w:val="00CF560F"/>
    <w:rsid w:val="00D37F7B"/>
    <w:rsid w:val="00D61DDE"/>
    <w:rsid w:val="00E27239"/>
    <w:rsid w:val="00E64CE7"/>
    <w:rsid w:val="00EE5680"/>
    <w:rsid w:val="00F01363"/>
    <w:rsid w:val="00F0519E"/>
    <w:rsid w:val="00F52210"/>
    <w:rsid w:val="00F743D6"/>
    <w:rsid w:val="00F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m">
    <w:name w:val="im"/>
    <w:basedOn w:val="Policepardfaut"/>
    <w:rsid w:val="003672E3"/>
  </w:style>
  <w:style w:type="character" w:styleId="Marquedecommentaire">
    <w:name w:val="annotation reference"/>
    <w:basedOn w:val="Policepardfaut"/>
    <w:uiPriority w:val="99"/>
    <w:semiHidden/>
    <w:unhideWhenUsed/>
    <w:rsid w:val="00190D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D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D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D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DE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7B46"/>
  </w:style>
  <w:style w:type="paragraph" w:styleId="Pieddepage">
    <w:name w:val="footer"/>
    <w:basedOn w:val="Normal"/>
    <w:link w:val="Pieddepag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7B46"/>
  </w:style>
  <w:style w:type="character" w:styleId="Lienhypertexte">
    <w:name w:val="Hyperlink"/>
    <w:rsid w:val="00857B46"/>
    <w:rPr>
      <w:u w:val="single"/>
    </w:rPr>
  </w:style>
  <w:style w:type="paragraph" w:styleId="Paragraphedeliste">
    <w:name w:val="List Paragraph"/>
    <w:basedOn w:val="Normal"/>
    <w:uiPriority w:val="34"/>
    <w:qFormat/>
    <w:rsid w:val="00FA2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802</Words>
  <Characters>4415</Characters>
  <Application>Microsoft Office Word</Application>
  <DocSecurity>0</DocSecurity>
  <Lines>36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Lost In Time Sàrl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Laura Zambetti</cp:lastModifiedBy>
  <cp:revision>5</cp:revision>
  <cp:lastPrinted>2020-03-11T14:03:00Z</cp:lastPrinted>
  <dcterms:created xsi:type="dcterms:W3CDTF">2021-02-24T19:09:00Z</dcterms:created>
  <dcterms:modified xsi:type="dcterms:W3CDTF">2021-02-25T09:28:00Z</dcterms:modified>
</cp:coreProperties>
</file>