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E673" w14:textId="02F1E7A4" w:rsidR="008746ED" w:rsidRPr="0071427E" w:rsidRDefault="008B1FC9" w:rsidP="00E53924">
      <w:pPr>
        <w:jc w:val="center"/>
        <w:rPr>
          <w:rFonts w:ascii="Avenir Next" w:hAnsi="Avenir Next" w:cs="Arial"/>
          <w:b/>
          <w:bCs/>
          <w:sz w:val="28"/>
          <w:szCs w:val="28"/>
          <w:lang w:val="en-US"/>
        </w:rPr>
      </w:pPr>
      <w:bookmarkStart w:id="0" w:name="_Hlk86661062"/>
      <w:r w:rsidRPr="0071427E">
        <w:rPr>
          <w:rFonts w:ascii="Avenir Next" w:hAnsi="Avenir Next"/>
          <w:b/>
          <w:sz w:val="28"/>
          <w:lang w:val="en-US"/>
        </w:rPr>
        <w:t xml:space="preserve">Zenith </w:t>
      </w:r>
      <w:proofErr w:type="spellStart"/>
      <w:r w:rsidRPr="0071427E">
        <w:rPr>
          <w:rFonts w:ascii="Avenir Next" w:hAnsi="Avenir Next"/>
          <w:b/>
          <w:sz w:val="28"/>
          <w:lang w:val="en-US"/>
        </w:rPr>
        <w:t>Chronomaster</w:t>
      </w:r>
      <w:proofErr w:type="spellEnd"/>
      <w:r w:rsidRPr="0071427E">
        <w:rPr>
          <w:rFonts w:ascii="Avenir Next" w:hAnsi="Avenir Next"/>
          <w:b/>
          <w:sz w:val="28"/>
          <w:lang w:val="en-US"/>
        </w:rPr>
        <w:t xml:space="preserve"> Revival “Poker Chip”</w:t>
      </w:r>
    </w:p>
    <w:bookmarkEnd w:id="0"/>
    <w:p w14:paraId="2B3906B8" w14:textId="45C38015" w:rsidR="008C454F" w:rsidRPr="0071427E" w:rsidRDefault="008C454F" w:rsidP="00E53924">
      <w:pPr>
        <w:jc w:val="both"/>
        <w:rPr>
          <w:rFonts w:ascii="Avenir Next" w:hAnsi="Avenir Next" w:cs="Arial"/>
          <w:b/>
          <w:bCs/>
          <w:lang w:val="en-US"/>
        </w:rPr>
      </w:pPr>
    </w:p>
    <w:p w14:paraId="708FC310" w14:textId="71638957" w:rsidR="008C454F" w:rsidRPr="00193968" w:rsidRDefault="008C454F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Singapura, 15 de novembro de 2021: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e a SJX Watches apresentam uma elegante reinterpretação de um dos relógios vintage mais desejáveis da marca com o </w:t>
      </w:r>
      <w:proofErr w:type="spellStart"/>
      <w:r>
        <w:rPr>
          <w:rFonts w:ascii="Avenir Next" w:hAnsi="Avenir Next"/>
          <w:b/>
          <w:sz w:val="20"/>
        </w:rPr>
        <w:t>Chronomaster</w:t>
      </w:r>
      <w:proofErr w:type="spellEnd"/>
      <w:r>
        <w:rPr>
          <w:rFonts w:ascii="Avenir Next" w:hAnsi="Avenir Next"/>
          <w:b/>
          <w:sz w:val="20"/>
        </w:rPr>
        <w:t xml:space="preserve"> </w:t>
      </w:r>
      <w:proofErr w:type="spellStart"/>
      <w:r>
        <w:rPr>
          <w:rFonts w:ascii="Avenir Next" w:hAnsi="Avenir Next"/>
          <w:b/>
          <w:sz w:val="20"/>
        </w:rPr>
        <w:t>Revival</w:t>
      </w:r>
      <w:proofErr w:type="spellEnd"/>
      <w:r>
        <w:rPr>
          <w:rFonts w:ascii="Avenir Next" w:hAnsi="Avenir Next"/>
          <w:b/>
          <w:sz w:val="20"/>
        </w:rPr>
        <w:t xml:space="preserve"> “Poker Chip”</w:t>
      </w:r>
      <w:r>
        <w:rPr>
          <w:rFonts w:ascii="Avenir Next" w:hAnsi="Avenir Next"/>
          <w:sz w:val="20"/>
        </w:rPr>
        <w:t xml:space="preserve">, inspirado no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G383. Carinhosamente apelidado de “Poker Chip” pelos colecionadores, o G383 é considerado um dos modelos mais fascinantes dos arquivos da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. O G383 foi lançado em 1969 e encontra-se entre as mais raras e mais procuradas versões das primeiras variantes do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. </w:t>
      </w:r>
    </w:p>
    <w:p w14:paraId="36FA32B9" w14:textId="77777777" w:rsidR="008C454F" w:rsidRPr="00193968" w:rsidRDefault="008C454F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742E7049" w14:textId="0B53EC2C" w:rsidR="008B1FC9" w:rsidRDefault="00050360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Um design com claras raízes na era psicadélica do final da década de 1960, e uma evocação ao A386 e ao seu mostrador tricolor, o G383 era caracterizado por uma disposição extremamente sectorial, tornando-o num dos designs mais extravagantes da década. Desenvolvido em parceria com um dos fornecedores de mostradores de confiança da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naquela época, o mostrador destacou-se imediatamente com as suas arrojadas cores alternantes que relembram uma ficha de póquer, ganhando assim o seu apelido. O estilo incomparável do G383 formou a génese desta colaboração, um projeto que se iniciou em maio de 2020, quando </w:t>
      </w:r>
      <w:proofErr w:type="spellStart"/>
      <w:r>
        <w:rPr>
          <w:rFonts w:ascii="Avenir Next" w:hAnsi="Avenir Next"/>
          <w:sz w:val="20"/>
        </w:rPr>
        <w:t>Su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Jiaxian</w:t>
      </w:r>
      <w:proofErr w:type="spellEnd"/>
      <w:r>
        <w:rPr>
          <w:rFonts w:ascii="Avenir Next" w:hAnsi="Avenir Next"/>
          <w:sz w:val="20"/>
        </w:rPr>
        <w:t xml:space="preserve">, fundador da revista de relojoaria SJX Watches sediada em Singapura, procurou o diretor de Produção e Herança, Romain </w:t>
      </w:r>
      <w:proofErr w:type="spellStart"/>
      <w:r>
        <w:rPr>
          <w:rFonts w:ascii="Avenir Next" w:hAnsi="Avenir Next"/>
          <w:sz w:val="20"/>
        </w:rPr>
        <w:t>Marietta</w:t>
      </w:r>
      <w:proofErr w:type="spellEnd"/>
      <w:r>
        <w:rPr>
          <w:rFonts w:ascii="Avenir Next" w:hAnsi="Avenir Next"/>
          <w:sz w:val="20"/>
        </w:rPr>
        <w:t>, propondo o relançamento do G383 com características distintas e modernas.</w:t>
      </w:r>
    </w:p>
    <w:p w14:paraId="012736EC" w14:textId="5872A0BF" w:rsidR="00050360" w:rsidRDefault="00050360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176F32D7" w14:textId="651E6420" w:rsidR="00050360" w:rsidRPr="00193968" w:rsidRDefault="00050360" w:rsidP="00050360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O objetivo desta parceria era a reprodução dos elementos fundamentais do G383, dando-lhe um toque elegante e contemporâneo. Levando assim à criação do Poker Chip, um design que conta com tons de cinzento e a generosa ajuda de </w:t>
      </w:r>
      <w:proofErr w:type="spellStart"/>
      <w:r>
        <w:rPr>
          <w:rFonts w:ascii="Avenir Next" w:hAnsi="Avenir Next"/>
          <w:sz w:val="20"/>
        </w:rPr>
        <w:t>Super-Luminova</w:t>
      </w:r>
      <w:proofErr w:type="spellEnd"/>
      <w:r>
        <w:rPr>
          <w:rFonts w:ascii="Avenir Next" w:hAnsi="Avenir Next"/>
          <w:sz w:val="20"/>
        </w:rPr>
        <w:t xml:space="preserve"> para recriar o G383 à luz do dia - e na escuridão.</w:t>
      </w:r>
    </w:p>
    <w:p w14:paraId="397006A3" w14:textId="19BB80E5" w:rsidR="00D27D98" w:rsidRPr="00193968" w:rsidRDefault="00D27D98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1A562598" w14:textId="255604E5" w:rsidR="00D27D98" w:rsidRPr="00193968" w:rsidRDefault="00D27D98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i/>
          <w:iCs/>
          <w:sz w:val="20"/>
        </w:rPr>
        <w:t xml:space="preserve">“Sempre admirei o El </w:t>
      </w:r>
      <w:proofErr w:type="spellStart"/>
      <w:r>
        <w:rPr>
          <w:rFonts w:ascii="Avenir Next" w:hAnsi="Avenir Next"/>
          <w:i/>
          <w:iCs/>
          <w:sz w:val="20"/>
        </w:rPr>
        <w:t>Primero</w:t>
      </w:r>
      <w:proofErr w:type="spellEnd"/>
      <w:r>
        <w:rPr>
          <w:rFonts w:ascii="Avenir Next" w:hAnsi="Avenir Next"/>
          <w:i/>
          <w:iCs/>
          <w:sz w:val="20"/>
        </w:rPr>
        <w:t xml:space="preserve"> pela sua longevidade e a </w:t>
      </w:r>
      <w:proofErr w:type="spellStart"/>
      <w:r>
        <w:rPr>
          <w:rFonts w:ascii="Avenir Next" w:hAnsi="Avenir Next"/>
          <w:i/>
          <w:iCs/>
          <w:sz w:val="20"/>
        </w:rPr>
        <w:t>Zenith</w:t>
      </w:r>
      <w:proofErr w:type="spellEnd"/>
      <w:r>
        <w:rPr>
          <w:rFonts w:ascii="Avenir Next" w:hAnsi="Avenir Next"/>
          <w:i/>
          <w:iCs/>
          <w:sz w:val="20"/>
        </w:rPr>
        <w:t xml:space="preserve"> pela sua rica herança.”</w:t>
      </w:r>
      <w:r>
        <w:rPr>
          <w:rFonts w:ascii="Avenir Next" w:hAnsi="Avenir Next"/>
          <w:sz w:val="20"/>
        </w:rPr>
        <w:t xml:space="preserve"> explica </w:t>
      </w:r>
      <w:r>
        <w:rPr>
          <w:rFonts w:ascii="Avenir Next" w:hAnsi="Avenir Next"/>
          <w:b/>
          <w:bCs/>
          <w:sz w:val="20"/>
        </w:rPr>
        <w:t>SJX</w:t>
      </w:r>
      <w:r>
        <w:rPr>
          <w:rFonts w:ascii="Avenir Next" w:hAnsi="Avenir Next"/>
          <w:sz w:val="20"/>
        </w:rPr>
        <w:t xml:space="preserve">, </w:t>
      </w:r>
      <w:r>
        <w:rPr>
          <w:rFonts w:ascii="Avenir Next" w:hAnsi="Avenir Next"/>
          <w:i/>
          <w:iCs/>
          <w:sz w:val="20"/>
        </w:rPr>
        <w:t>“Queria criar algo que combinasse tanto o seu movimento como a sua história, mas em vez de uma recriação, queria algo que soasse como um paradoxo: um design imediatamente reconhecível como sendo o G383, mas inequivocamente novo e diferente."</w:t>
      </w:r>
      <w:r>
        <w:rPr>
          <w:rFonts w:ascii="Avenir Next" w:hAnsi="Avenir Next"/>
          <w:sz w:val="20"/>
        </w:rPr>
        <w:t xml:space="preserve"> </w:t>
      </w:r>
    </w:p>
    <w:p w14:paraId="31CAD4E5" w14:textId="4D562D75" w:rsidR="00DA6398" w:rsidRPr="00193968" w:rsidRDefault="00DA6398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11CF7983" w14:textId="5111F802" w:rsidR="008C454F" w:rsidRPr="00193968" w:rsidRDefault="00DA6398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O mostrador do Poker Chip é em cinzento-escuro com segmentos impressos em preto mate e </w:t>
      </w:r>
      <w:proofErr w:type="spellStart"/>
      <w:r>
        <w:rPr>
          <w:rFonts w:ascii="Avenir Next" w:hAnsi="Avenir Next"/>
          <w:sz w:val="20"/>
        </w:rPr>
        <w:t>Super-Luminova</w:t>
      </w:r>
      <w:proofErr w:type="spellEnd"/>
      <w:r>
        <w:rPr>
          <w:rFonts w:ascii="Avenir Next" w:hAnsi="Avenir Next"/>
          <w:sz w:val="20"/>
        </w:rPr>
        <w:t xml:space="preserve">. Mais “luminescências” podem ser encontradas nos índices de hora, nas escalas do cronógrafo, assim como nos padrões que rodeiam cada registo. Num aceno ao emblemático relógio de pulso da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, usa a mesma caixa de 38 mm do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A386, mas executada em titânio </w:t>
      </w:r>
      <w:proofErr w:type="spellStart"/>
      <w:r>
        <w:rPr>
          <w:rFonts w:ascii="Avenir Next" w:hAnsi="Avenir Next"/>
          <w:sz w:val="20"/>
        </w:rPr>
        <w:t>microjateado</w:t>
      </w:r>
      <w:proofErr w:type="spellEnd"/>
      <w:r>
        <w:rPr>
          <w:rFonts w:ascii="Avenir Next" w:hAnsi="Avenir Next"/>
          <w:sz w:val="20"/>
        </w:rPr>
        <w:t xml:space="preserve">, dando-lhe um acabamento cinzento-escuro elegantemente texturizado que ecoa as cores do mostrador. Na caixa em titânio – e visível através do fundo em safira – encontra-se o movimento do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>, essencialmente o mesmo calibre que fez história em 1969.</w:t>
      </w:r>
    </w:p>
    <w:p w14:paraId="111DEC28" w14:textId="43F976B3" w:rsidR="008F404F" w:rsidRPr="00193968" w:rsidRDefault="008F404F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23B86D80" w14:textId="3139D0A3" w:rsidR="00193968" w:rsidRDefault="008F404F" w:rsidP="00E53924">
      <w:pPr>
        <w:jc w:val="both"/>
        <w:rPr>
          <w:rFonts w:ascii="Avenir Next" w:hAnsi="Avenir Next" w:cs="Arial"/>
          <w:sz w:val="20"/>
          <w:szCs w:val="20"/>
        </w:rPr>
      </w:pPr>
      <w:r>
        <w:rPr>
          <w:rFonts w:ascii="Avenir Next" w:hAnsi="Avenir Next"/>
          <w:sz w:val="20"/>
        </w:rPr>
        <w:t xml:space="preserve">Cada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Revival</w:t>
      </w:r>
      <w:proofErr w:type="spellEnd"/>
      <w:r>
        <w:rPr>
          <w:rFonts w:ascii="Avenir Next" w:hAnsi="Avenir Next"/>
          <w:sz w:val="20"/>
        </w:rPr>
        <w:t xml:space="preserve"> Poker Chip é entregue com duas braceletes em tecido, uma em preto mate e outra em verde-pálido impregnado de </w:t>
      </w:r>
      <w:proofErr w:type="spellStart"/>
      <w:r>
        <w:rPr>
          <w:rFonts w:ascii="Avenir Next" w:hAnsi="Avenir Next"/>
          <w:sz w:val="20"/>
        </w:rPr>
        <w:t>Super-Luminova</w:t>
      </w:r>
      <w:proofErr w:type="spellEnd"/>
      <w:r>
        <w:rPr>
          <w:rFonts w:ascii="Avenir Next" w:hAnsi="Avenir Next"/>
          <w:sz w:val="20"/>
        </w:rPr>
        <w:t xml:space="preserve">, e está limitado a 200 relógios, disponível nas boutiques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>, na plataforma de comércio eletrónico ou através da SJX Watches.</w:t>
      </w:r>
    </w:p>
    <w:p w14:paraId="40FCB49D" w14:textId="77777777" w:rsidR="00193968" w:rsidRDefault="00193968">
      <w:pPr>
        <w:rPr>
          <w:rFonts w:ascii="Avenir Next" w:hAnsi="Avenir Next" w:cs="Arial"/>
          <w:sz w:val="20"/>
          <w:szCs w:val="20"/>
        </w:rPr>
      </w:pPr>
      <w:r>
        <w:br w:type="page"/>
      </w:r>
    </w:p>
    <w:p w14:paraId="39A9BD62" w14:textId="77777777" w:rsidR="00193968" w:rsidRPr="00C974BE" w:rsidRDefault="00193968" w:rsidP="00193968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O CÉU É O LIMITE.</w:t>
      </w:r>
    </w:p>
    <w:p w14:paraId="3FD323FB" w14:textId="77777777" w:rsidR="00193968" w:rsidRPr="0071427E" w:rsidRDefault="00193968" w:rsidP="00193968">
      <w:pPr>
        <w:jc w:val="both"/>
        <w:rPr>
          <w:rFonts w:ascii="Avenir Next" w:hAnsi="Avenir Next"/>
          <w:sz w:val="20"/>
          <w:szCs w:val="20"/>
        </w:rPr>
      </w:pPr>
    </w:p>
    <w:p w14:paraId="221823AF" w14:textId="77777777" w:rsidR="00193968" w:rsidRPr="00C974BE" w:rsidRDefault="00193968" w:rsidP="00193968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existe para inspirar todas as pessoas a perseguirem os seus sonhos e a tornarem-nos realidade, contra todas as probabilidades. Após a sua fundação em 1865,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20"/>
        </w:rPr>
        <w:t>Blériot</w:t>
      </w:r>
      <w:proofErr w:type="spellEnd"/>
      <w:r>
        <w:rPr>
          <w:rFonts w:ascii="Avenir Next" w:hAnsi="Avenir Next"/>
          <w:sz w:val="20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20"/>
        </w:rPr>
        <w:t>Felix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Baumgartner</w:t>
      </w:r>
      <w:proofErr w:type="spellEnd"/>
      <w:r>
        <w:rPr>
          <w:rFonts w:ascii="Avenir Next" w:hAnsi="Avenir Next"/>
          <w:sz w:val="20"/>
        </w:rPr>
        <w:t xml:space="preserve">.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está também a destacar mulheres visionárias e pioneiras, no passado e no presente, celebrando os feitos alcançados e criando a plataforma DREAMHERS, onde as mulheres podem partilhar as suas experiências e inspirar outras mulheres a concretizar os seus sonhos.</w:t>
      </w:r>
    </w:p>
    <w:p w14:paraId="131DBFB4" w14:textId="77777777" w:rsidR="00193968" w:rsidRPr="0071427E" w:rsidRDefault="00193968" w:rsidP="00193968">
      <w:pPr>
        <w:jc w:val="both"/>
        <w:rPr>
          <w:rFonts w:ascii="Avenir Next" w:hAnsi="Avenir Next"/>
          <w:sz w:val="20"/>
          <w:szCs w:val="20"/>
        </w:rPr>
      </w:pPr>
    </w:p>
    <w:p w14:paraId="775008AC" w14:textId="77777777" w:rsidR="00193968" w:rsidRPr="00C974BE" w:rsidRDefault="00193968" w:rsidP="00193968">
      <w:pPr>
        <w:jc w:val="both"/>
        <w:rPr>
          <w:sz w:val="22"/>
          <w:szCs w:val="22"/>
        </w:rPr>
      </w:pPr>
      <w:r>
        <w:rPr>
          <w:rFonts w:ascii="Avenir Next" w:hAnsi="Avenir Next"/>
          <w:sz w:val="20"/>
        </w:rPr>
        <w:t xml:space="preserve">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usa exclusivamente movimentos desenvolvidos e manufaturados internamente em todos os seus relógios. Desde a criação do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em 1969, o primeiro calibre de cronógrafo automático do mundo,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desenvolveu a mestria na complicação com ainda mais precisão, capaz de medições com uma precisão de 1/10 de segundo nas linhas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 mais recentes e de 1/100 de segundo na coleção DEFY.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tem vindo a moldar o futuro da relojoaria suíça desde 1865, acompanhando aqueles que ousam desafiar-se a si próprios e a quebrar barreiras. Agora, é a sua vez de atingir o céu.</w:t>
      </w:r>
    </w:p>
    <w:p w14:paraId="7D7AF967" w14:textId="77777777" w:rsidR="00D27D98" w:rsidRPr="00193968" w:rsidRDefault="00D27D98" w:rsidP="00E53924">
      <w:pPr>
        <w:jc w:val="both"/>
        <w:rPr>
          <w:rFonts w:ascii="Avenir Next" w:hAnsi="Avenir Next" w:cs="Arial"/>
          <w:sz w:val="20"/>
          <w:szCs w:val="20"/>
        </w:rPr>
      </w:pPr>
    </w:p>
    <w:p w14:paraId="18485EDD" w14:textId="4E208BE8" w:rsidR="003705E3" w:rsidRDefault="003705E3">
      <w:pPr>
        <w:rPr>
          <w:rFonts w:ascii="Avenir Next" w:hAnsi="Avenir Next" w:cs="Arial"/>
        </w:rPr>
      </w:pPr>
      <w:r>
        <w:br w:type="page"/>
      </w:r>
    </w:p>
    <w:p w14:paraId="652E396B" w14:textId="1901174B" w:rsidR="003705E3" w:rsidRPr="003705E3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proofErr w:type="spellStart"/>
      <w:r>
        <w:rPr>
          <w:rFonts w:ascii="Avenir Next" w:hAnsi="Avenir Next"/>
          <w:b/>
        </w:rPr>
        <w:lastRenderedPageBreak/>
        <w:t>Zenith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Chronomaster</w:t>
      </w:r>
      <w:proofErr w:type="spellEnd"/>
      <w:r>
        <w:rPr>
          <w:rFonts w:ascii="Avenir Next" w:hAnsi="Avenir Next"/>
          <w:b/>
        </w:rPr>
        <w:t xml:space="preserve"> </w:t>
      </w:r>
      <w:proofErr w:type="spellStart"/>
      <w:r>
        <w:rPr>
          <w:rFonts w:ascii="Avenir Next" w:hAnsi="Avenir Next"/>
          <w:b/>
        </w:rPr>
        <w:t>Revival</w:t>
      </w:r>
      <w:proofErr w:type="spellEnd"/>
      <w:r>
        <w:rPr>
          <w:rFonts w:ascii="Avenir Next" w:hAnsi="Avenir Next"/>
          <w:b/>
        </w:rPr>
        <w:t xml:space="preserve"> “Poker Chip”</w:t>
      </w:r>
    </w:p>
    <w:p w14:paraId="395DA965" w14:textId="0F49242F" w:rsidR="003705E3" w:rsidRPr="0071427E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sz w:val="18"/>
          <w:szCs w:val="18"/>
        </w:rPr>
      </w:pPr>
    </w:p>
    <w:p w14:paraId="59385444" w14:textId="59E75F6D" w:rsidR="003705E3" w:rsidRPr="004669CC" w:rsidRDefault="00E608FE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C11BF2" wp14:editId="4EB2FE3F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2520950" cy="3600450"/>
            <wp:effectExtent l="0" t="0" r="0" b="0"/>
            <wp:wrapTight wrapText="bothSides">
              <wp:wrapPolygon edited="0">
                <wp:start x="7998" y="3200"/>
                <wp:lineTo x="7508" y="5257"/>
                <wp:lineTo x="6203" y="7086"/>
                <wp:lineTo x="5223" y="8914"/>
                <wp:lineTo x="4570" y="10629"/>
                <wp:lineTo x="4570" y="10857"/>
                <wp:lineTo x="5223" y="12571"/>
                <wp:lineTo x="6203" y="14400"/>
                <wp:lineTo x="7508" y="16229"/>
                <wp:lineTo x="7508" y="19886"/>
                <wp:lineTo x="7835" y="20686"/>
                <wp:lineTo x="13711" y="20686"/>
                <wp:lineTo x="14037" y="19886"/>
                <wp:lineTo x="14201" y="16229"/>
                <wp:lineTo x="15506" y="14400"/>
                <wp:lineTo x="17628" y="12686"/>
                <wp:lineTo x="17955" y="10743"/>
                <wp:lineTo x="17791" y="8914"/>
                <wp:lineTo x="15506" y="7086"/>
                <wp:lineTo x="14527" y="5829"/>
                <wp:lineTo x="13548" y="3200"/>
                <wp:lineTo x="7998" y="320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 xml:space="preserve">Referência: </w:t>
      </w:r>
      <w:proofErr w:type="gramStart"/>
      <w:r>
        <w:rPr>
          <w:rFonts w:ascii="Avenir Next" w:hAnsi="Avenir Next"/>
          <w:sz w:val="18"/>
        </w:rPr>
        <w:t>97.G</w:t>
      </w:r>
      <w:proofErr w:type="gramEnd"/>
      <w:r>
        <w:rPr>
          <w:rFonts w:ascii="Avenir Next" w:hAnsi="Avenir Next"/>
          <w:sz w:val="18"/>
        </w:rPr>
        <w:t>383.400.38.C880</w:t>
      </w:r>
    </w:p>
    <w:p w14:paraId="6105A6F8" w14:textId="77777777" w:rsidR="003705E3" w:rsidRPr="0071427E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508A3951" w14:textId="6524BEC8" w:rsidR="00D416C4" w:rsidRPr="00D416C4" w:rsidRDefault="003705E3" w:rsidP="00D416C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Pontos principais: </w:t>
      </w:r>
      <w:r w:rsidR="00D1401C">
        <w:rPr>
          <w:rFonts w:ascii="Avenir Next" w:hAnsi="Avenir Next"/>
          <w:sz w:val="18"/>
        </w:rPr>
        <w:t>u</w:t>
      </w:r>
      <w:r>
        <w:rPr>
          <w:rFonts w:ascii="Avenir Next" w:hAnsi="Avenir Next"/>
          <w:sz w:val="18"/>
        </w:rPr>
        <w:t xml:space="preserve">ma reinterpretação do icónico mostrador "Poker Chip". Caixa em titânio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</w:p>
    <w:p w14:paraId="30E35202" w14:textId="2084F1B4" w:rsidR="003705E3" w:rsidRPr="004669CC" w:rsidRDefault="00D416C4" w:rsidP="00D416C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Caixa original de 1969 com 38 mm de diâmetro. Movimento de cronógrafo automático com roda de colunas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. Edição limitada de 200 exemplares. Disponível através da SJX, nas boutiques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e na plataforma de comércio eletrónico.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400, automático</w:t>
      </w:r>
    </w:p>
    <w:p w14:paraId="1BCDEF5F" w14:textId="77777777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  <w:r>
        <w:t xml:space="preserve"> </w:t>
      </w:r>
    </w:p>
    <w:p w14:paraId="4664BE6B" w14:textId="77777777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marcha:</w:t>
      </w:r>
      <w:r>
        <w:rPr>
          <w:rFonts w:ascii="Avenir Next" w:hAnsi="Avenir Next"/>
          <w:sz w:val="18"/>
        </w:rPr>
        <w:t xml:space="preserve"> mínimo de 50 horas</w:t>
      </w:r>
    </w:p>
    <w:p w14:paraId="21E9DD79" w14:textId="249CA7E9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 w:rsidR="00D1401C">
        <w:rPr>
          <w:rFonts w:ascii="Avenir Next" w:hAnsi="Avenir Next"/>
          <w:sz w:val="18"/>
        </w:rPr>
        <w:t>h</w:t>
      </w:r>
      <w:r>
        <w:rPr>
          <w:rFonts w:ascii="Avenir Next" w:hAnsi="Avenir Next"/>
          <w:sz w:val="18"/>
        </w:rPr>
        <w:t>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12 horas às seis horas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30 minutos às três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Escala taquimétrica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 xml:space="preserve">Escala com </w:t>
      </w:r>
      <w:proofErr w:type="spellStart"/>
      <w:r>
        <w:rPr>
          <w:rFonts w:ascii="Avenir Next" w:hAnsi="Avenir Next"/>
          <w:sz w:val="18"/>
        </w:rPr>
        <w:t>pulsómetro</w:t>
      </w:r>
      <w:proofErr w:type="spellEnd"/>
      <w:r>
        <w:rPr>
          <w:rFonts w:ascii="Avenir Next" w:hAnsi="Avenir Next"/>
          <w:sz w:val="18"/>
        </w:rPr>
        <w:t xml:space="preserve">. </w:t>
      </w:r>
      <w:r>
        <w:t>Indicação de data às 4h30</w:t>
      </w:r>
      <w:r>
        <w:br/>
      </w:r>
      <w:r w:rsidRPr="00321CE6">
        <w:rPr>
          <w:rFonts w:ascii="Avenir Next" w:hAnsi="Avenir Next"/>
          <w:b/>
          <w:bCs/>
          <w:sz w:val="18"/>
          <w:szCs w:val="18"/>
        </w:rPr>
        <w:t>Caixa:</w:t>
      </w:r>
      <w:r w:rsidRPr="00321CE6">
        <w:rPr>
          <w:rFonts w:ascii="Avenir Next" w:hAnsi="Avenir Next"/>
          <w:b/>
          <w:sz w:val="18"/>
          <w:szCs w:val="18"/>
        </w:rPr>
        <w:t xml:space="preserve"> </w:t>
      </w:r>
      <w:r w:rsidRPr="00321CE6">
        <w:rPr>
          <w:rFonts w:ascii="Avenir Next" w:hAnsi="Avenir Next"/>
          <w:sz w:val="18"/>
          <w:szCs w:val="18"/>
        </w:rPr>
        <w:t>38 mm</w:t>
      </w:r>
    </w:p>
    <w:p w14:paraId="23E23331" w14:textId="0D2A2FC8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</w:t>
      </w:r>
      <w:r w:rsidR="00D1401C">
        <w:rPr>
          <w:rFonts w:ascii="Avenir Next" w:hAnsi="Avenir Next"/>
          <w:sz w:val="18"/>
        </w:rPr>
        <w:t>t</w:t>
      </w:r>
      <w:r>
        <w:rPr>
          <w:rFonts w:ascii="Avenir Next" w:hAnsi="Avenir Next"/>
          <w:sz w:val="18"/>
        </w:rPr>
        <w:t xml:space="preserve">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  <w:r>
        <w:rPr>
          <w:rFonts w:ascii="Avenir Next" w:hAnsi="Avenir Next"/>
          <w:sz w:val="18"/>
        </w:rPr>
        <w:t xml:space="preserve"> </w:t>
      </w:r>
    </w:p>
    <w:p w14:paraId="37D2962C" w14:textId="5A4B5444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</w:t>
      </w:r>
      <w:r w:rsidR="00D1401C">
        <w:rPr>
          <w:rFonts w:ascii="Avenir Next" w:hAnsi="Avenir Next"/>
          <w:sz w:val="18"/>
        </w:rPr>
        <w:t>c</w:t>
      </w:r>
      <w:r>
        <w:rPr>
          <w:rFonts w:ascii="Avenir Next" w:hAnsi="Avenir Next"/>
          <w:sz w:val="18"/>
        </w:rPr>
        <w:t xml:space="preserve">inzento-escuro com segmentos impressos em preto mate e </w:t>
      </w:r>
      <w:proofErr w:type="spellStart"/>
      <w:r>
        <w:rPr>
          <w:rFonts w:ascii="Avenir Next" w:hAnsi="Avenir Next"/>
          <w:sz w:val="18"/>
        </w:rPr>
        <w:t>Super-Luminova</w:t>
      </w:r>
      <w:proofErr w:type="spellEnd"/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24D7F8BE" w14:textId="1F523CB9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9900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Índices das horas:</w:t>
      </w:r>
      <w:r>
        <w:rPr>
          <w:rFonts w:ascii="Avenir Next" w:hAnsi="Avenir Next"/>
          <w:sz w:val="18"/>
        </w:rPr>
        <w:t xml:space="preserve"> </w:t>
      </w:r>
      <w:r w:rsidR="00D1401C">
        <w:rPr>
          <w:rFonts w:ascii="Avenir Next" w:hAnsi="Avenir Next"/>
          <w:sz w:val="18"/>
        </w:rPr>
        <w:t>r</w:t>
      </w:r>
      <w:r>
        <w:rPr>
          <w:rFonts w:ascii="Avenir Next" w:hAnsi="Avenir Next"/>
          <w:sz w:val="18"/>
        </w:rPr>
        <w:t xml:space="preserve">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C3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</w:t>
      </w:r>
      <w:r w:rsidR="00D1401C">
        <w:rPr>
          <w:rFonts w:ascii="Avenir Next" w:hAnsi="Avenir Next"/>
          <w:sz w:val="18"/>
        </w:rPr>
        <w:t>r</w:t>
      </w:r>
      <w:r>
        <w:rPr>
          <w:rFonts w:ascii="Avenir Next" w:hAnsi="Avenir Next"/>
          <w:sz w:val="18"/>
        </w:rPr>
        <w:t xml:space="preserve">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C3</w:t>
      </w:r>
    </w:p>
    <w:p w14:paraId="0C6E53F0" w14:textId="0D508581" w:rsidR="003705E3" w:rsidRPr="004669CC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</w:t>
      </w:r>
      <w:r w:rsidR="00D1401C">
        <w:rPr>
          <w:rFonts w:ascii="Avenir Next" w:hAnsi="Avenir Next"/>
          <w:sz w:val="18"/>
        </w:rPr>
        <w:t>i</w:t>
      </w:r>
      <w:r>
        <w:rPr>
          <w:rFonts w:ascii="Avenir Next" w:hAnsi="Avenir Next"/>
          <w:sz w:val="18"/>
        </w:rPr>
        <w:t xml:space="preserve">nclui duas braceletes em tecido, uma em preto mate e outra impregnada de </w:t>
      </w:r>
      <w:proofErr w:type="spellStart"/>
      <w:r>
        <w:rPr>
          <w:rFonts w:ascii="Avenir Next" w:hAnsi="Avenir Next"/>
          <w:sz w:val="18"/>
        </w:rPr>
        <w:t>Luminova</w:t>
      </w:r>
      <w:proofErr w:type="spellEnd"/>
      <w:r>
        <w:rPr>
          <w:rFonts w:ascii="Avenir Next" w:hAnsi="Avenir Next"/>
          <w:sz w:val="18"/>
        </w:rPr>
        <w:t xml:space="preserve"> com efeito "Cordura”. </w:t>
      </w:r>
    </w:p>
    <w:p w14:paraId="7F96D987" w14:textId="77777777" w:rsidR="003705E3" w:rsidRPr="0071427E" w:rsidRDefault="003705E3" w:rsidP="003705E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51A42C68" w14:textId="2797454A" w:rsidR="00DA6398" w:rsidRPr="0071427E" w:rsidRDefault="00DA6398" w:rsidP="00266B7F">
      <w:pPr>
        <w:rPr>
          <w:rFonts w:ascii="Avenir Next" w:hAnsi="Avenir Next"/>
          <w:sz w:val="20"/>
          <w:szCs w:val="20"/>
        </w:rPr>
      </w:pPr>
      <w:bookmarkStart w:id="1" w:name="_GoBack"/>
      <w:bookmarkEnd w:id="1"/>
    </w:p>
    <w:sectPr w:rsidR="00DA6398" w:rsidRPr="0071427E" w:rsidSect="0061451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3849" w14:textId="77777777" w:rsidR="00002CC2" w:rsidRDefault="00002CC2" w:rsidP="00193968">
      <w:r>
        <w:separator/>
      </w:r>
    </w:p>
  </w:endnote>
  <w:endnote w:type="continuationSeparator" w:id="0">
    <w:p w14:paraId="1AE5650F" w14:textId="77777777" w:rsidR="00002CC2" w:rsidRDefault="00002CC2" w:rsidP="001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843E" w14:textId="77777777" w:rsidR="00193968" w:rsidRPr="0071427E" w:rsidRDefault="00193968" w:rsidP="00193968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71427E">
      <w:rPr>
        <w:rFonts w:ascii="Avenir Next" w:hAnsi="Avenir Next"/>
        <w:b/>
        <w:sz w:val="18"/>
        <w:lang w:val="fr-FR"/>
      </w:rPr>
      <w:t>ZENITH</w:t>
    </w:r>
    <w:r w:rsidRPr="0071427E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5A43D512" w14:textId="2F8A7A08" w:rsidR="00193968" w:rsidRPr="00193968" w:rsidRDefault="00193968" w:rsidP="0019396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> – E-mail: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AC36" w14:textId="77777777" w:rsidR="00002CC2" w:rsidRDefault="00002CC2" w:rsidP="00193968">
      <w:r>
        <w:separator/>
      </w:r>
    </w:p>
  </w:footnote>
  <w:footnote w:type="continuationSeparator" w:id="0">
    <w:p w14:paraId="5873FC7C" w14:textId="77777777" w:rsidR="00002CC2" w:rsidRDefault="00002CC2" w:rsidP="0019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FFDB" w14:textId="72D06725" w:rsidR="00193968" w:rsidRDefault="00193968" w:rsidP="00193968">
    <w:pPr>
      <w:pStyle w:val="En-tte"/>
      <w:jc w:val="center"/>
    </w:pPr>
    <w:r>
      <w:rPr>
        <w:noProof/>
      </w:rPr>
      <w:drawing>
        <wp:inline distT="0" distB="0" distL="0" distR="0" wp14:anchorId="74D9B465" wp14:editId="5EEA861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11E483" w14:textId="77777777" w:rsidR="00193968" w:rsidRDefault="00193968" w:rsidP="0019396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750"/>
    <w:multiLevelType w:val="hybridMultilevel"/>
    <w:tmpl w:val="D0944278"/>
    <w:lvl w:ilvl="0" w:tplc="76980CC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F0"/>
    <w:rsid w:val="00002CC2"/>
    <w:rsid w:val="00010FEF"/>
    <w:rsid w:val="00050360"/>
    <w:rsid w:val="000C50DF"/>
    <w:rsid w:val="0018469A"/>
    <w:rsid w:val="00193968"/>
    <w:rsid w:val="00266B7F"/>
    <w:rsid w:val="002B1271"/>
    <w:rsid w:val="00321CE6"/>
    <w:rsid w:val="003705E3"/>
    <w:rsid w:val="003C09C0"/>
    <w:rsid w:val="004A7DF1"/>
    <w:rsid w:val="004F1718"/>
    <w:rsid w:val="00527C1E"/>
    <w:rsid w:val="00614518"/>
    <w:rsid w:val="007123E1"/>
    <w:rsid w:val="0071427E"/>
    <w:rsid w:val="00756075"/>
    <w:rsid w:val="007D1B36"/>
    <w:rsid w:val="007E6D53"/>
    <w:rsid w:val="008746ED"/>
    <w:rsid w:val="008B1FC9"/>
    <w:rsid w:val="008C00A0"/>
    <w:rsid w:val="008C454F"/>
    <w:rsid w:val="008F404F"/>
    <w:rsid w:val="009A65F0"/>
    <w:rsid w:val="00AE73B7"/>
    <w:rsid w:val="00C12064"/>
    <w:rsid w:val="00C775B3"/>
    <w:rsid w:val="00D1401C"/>
    <w:rsid w:val="00D27D98"/>
    <w:rsid w:val="00D416C4"/>
    <w:rsid w:val="00D56ADC"/>
    <w:rsid w:val="00DA6398"/>
    <w:rsid w:val="00E00969"/>
    <w:rsid w:val="00E53924"/>
    <w:rsid w:val="00E608FE"/>
    <w:rsid w:val="00E8766A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B750"/>
  <w15:chartTrackingRefBased/>
  <w15:docId w15:val="{6829A511-8ED2-8F42-AB16-BBE5A07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539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539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3924"/>
    <w:rPr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39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3924"/>
    <w:rPr>
      <w:b/>
      <w:bCs/>
      <w:sz w:val="20"/>
      <w:szCs w:val="20"/>
      <w:lang w:val="pt-PT"/>
    </w:rPr>
  </w:style>
  <w:style w:type="paragraph" w:styleId="Paragraphedeliste">
    <w:name w:val="List Paragraph"/>
    <w:basedOn w:val="Normal"/>
    <w:uiPriority w:val="34"/>
    <w:qFormat/>
    <w:rsid w:val="00193968"/>
    <w:pPr>
      <w:ind w:left="720"/>
    </w:pPr>
    <w:rPr>
      <w:rFonts w:ascii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3968"/>
    <w:rPr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193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968"/>
    <w:rPr>
      <w:lang w:val="pt-PT"/>
    </w:rPr>
  </w:style>
  <w:style w:type="character" w:styleId="Lienhypertexte">
    <w:name w:val="Hyperlink"/>
    <w:rsid w:val="00193968"/>
    <w:rPr>
      <w:u w:val="single"/>
    </w:rPr>
  </w:style>
  <w:style w:type="paragraph" w:styleId="Rvision">
    <w:name w:val="Revision"/>
    <w:hidden/>
    <w:uiPriority w:val="99"/>
    <w:semiHidden/>
    <w:rsid w:val="00C7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Xian Su</dc:creator>
  <cp:keywords/>
  <dc:description/>
  <cp:lastModifiedBy>Sergio CUNHA</cp:lastModifiedBy>
  <cp:revision>8</cp:revision>
  <dcterms:created xsi:type="dcterms:W3CDTF">2021-11-05T08:23:00Z</dcterms:created>
  <dcterms:modified xsi:type="dcterms:W3CDTF">2021-11-08T15:38:00Z</dcterms:modified>
</cp:coreProperties>
</file>