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9226F" w14:textId="548AF51C" w:rsidR="00C41A67" w:rsidRPr="00C41A67" w:rsidRDefault="007E78F3" w:rsidP="00C41A67">
      <w:pPr>
        <w:jc w:val="center"/>
        <w:rPr>
          <w:rFonts w:ascii="Avenir Next" w:eastAsia="Times New Roman" w:hAnsi="Avenir Next" w:cs="Arial"/>
          <w:b/>
          <w:bCs/>
          <w:color w:val="000000" w:themeColor="text1"/>
        </w:rPr>
      </w:pPr>
      <w:r>
        <w:rPr>
          <w:rFonts w:ascii="Avenir Next" w:hAnsi="Avenir Next"/>
          <w:b/>
          <w:color w:val="000000" w:themeColor="text1"/>
        </w:rPr>
        <w:t>ELEVANDO A ALTA RELOJOARIA A NOVOS EXTREMOS COM O</w:t>
      </w:r>
    </w:p>
    <w:p w14:paraId="62A8B6BB" w14:textId="03C9F8C4" w:rsidR="00143E12" w:rsidRPr="00743466" w:rsidRDefault="007E78F3" w:rsidP="00C41A67">
      <w:pPr>
        <w:jc w:val="center"/>
        <w:rPr>
          <w:rFonts w:ascii="Avenir Next" w:eastAsia="Times New Roman" w:hAnsi="Avenir Next" w:cs="Arial"/>
          <w:b/>
          <w:bCs/>
          <w:color w:val="000000" w:themeColor="text1"/>
        </w:rPr>
      </w:pPr>
      <w:r>
        <w:rPr>
          <w:rFonts w:ascii="Avenir Next" w:hAnsi="Avenir Next"/>
          <w:b/>
          <w:color w:val="000000" w:themeColor="text1"/>
        </w:rPr>
        <w:t>DEFY EXTREME DOUBLE TOURBILLON</w:t>
      </w:r>
    </w:p>
    <w:p w14:paraId="739D2F19" w14:textId="7810A150" w:rsidR="007E78F3" w:rsidRPr="008B1ED7" w:rsidRDefault="007E78F3" w:rsidP="00C41A67">
      <w:pPr>
        <w:jc w:val="both"/>
        <w:rPr>
          <w:rFonts w:ascii="Avenir Next" w:hAnsi="Avenir Next"/>
          <w:color w:val="000000" w:themeColor="text1"/>
          <w:sz w:val="21"/>
          <w:szCs w:val="21"/>
        </w:rPr>
      </w:pPr>
    </w:p>
    <w:p w14:paraId="39E28AB2" w14:textId="77777777" w:rsidR="00C41A67" w:rsidRDefault="004F6276" w:rsidP="00C41A67">
      <w:pPr>
        <w:jc w:val="both"/>
        <w:rPr>
          <w:rFonts w:ascii="Avenir Next" w:hAnsi="Avenir Next"/>
          <w:b/>
          <w:bCs/>
          <w:color w:val="000000" w:themeColor="text1"/>
          <w:sz w:val="21"/>
          <w:szCs w:val="21"/>
        </w:rPr>
      </w:pPr>
      <w:r>
        <w:rPr>
          <w:rFonts w:ascii="Avenir Next" w:hAnsi="Avenir Next"/>
          <w:b/>
          <w:color w:val="000000" w:themeColor="text1"/>
          <w:sz w:val="21"/>
        </w:rPr>
        <w:t>Afirmando uma vez mais a sua posição enquanto “Master of Chronographs”, a ZENITH apresenta o seu movimento de cronógrafo mais avançado e complicado até à data – equipado com dois mecanismos de turbilhão independentes – para a linha DEFY Extreme. Pela primeira vez, este excecional movimento de cronógrafo de alta frequência com precisão de 1/100 de segundo irá juntar-se à principal coleção DEFY Extreme em duas referências produzidas em série.</w:t>
      </w:r>
    </w:p>
    <w:p w14:paraId="48978686" w14:textId="77777777" w:rsidR="00C705DF" w:rsidRPr="008B1ED7" w:rsidRDefault="00C705DF" w:rsidP="00C41A67">
      <w:pPr>
        <w:jc w:val="both"/>
        <w:rPr>
          <w:rFonts w:ascii="Avenir Next" w:eastAsia="Times New Roman" w:hAnsi="Avenir Next" w:cs="Arial"/>
          <w:color w:val="000000" w:themeColor="text1"/>
          <w:sz w:val="21"/>
          <w:szCs w:val="21"/>
          <w:lang w:eastAsia="en-GB"/>
        </w:rPr>
      </w:pPr>
    </w:p>
    <w:p w14:paraId="38838074" w14:textId="2E5572A1" w:rsidR="008F1036" w:rsidRPr="00EA353A" w:rsidRDefault="003C51B2" w:rsidP="00C41A67">
      <w:pPr>
        <w:jc w:val="both"/>
        <w:rPr>
          <w:rFonts w:ascii="Avenir Next" w:eastAsia="Times New Roman" w:hAnsi="Avenir Next" w:cs="Arial"/>
          <w:color w:val="000000" w:themeColor="text1"/>
          <w:sz w:val="21"/>
          <w:szCs w:val="21"/>
        </w:rPr>
      </w:pPr>
      <w:r>
        <w:rPr>
          <w:rFonts w:ascii="Avenir Next" w:hAnsi="Avenir Next"/>
          <w:color w:val="000000" w:themeColor="text1"/>
          <w:sz w:val="21"/>
        </w:rPr>
        <w:t xml:space="preserve">O </w:t>
      </w:r>
      <w:r>
        <w:rPr>
          <w:rFonts w:ascii="Avenir Next" w:hAnsi="Avenir Next"/>
          <w:b/>
          <w:color w:val="000000" w:themeColor="text1"/>
          <w:sz w:val="21"/>
        </w:rPr>
        <w:t>DEFY Extreme Double Tourbillon</w:t>
      </w:r>
      <w:r>
        <w:rPr>
          <w:rFonts w:ascii="Avenir Next" w:hAnsi="Avenir Next"/>
          <w:color w:val="000000" w:themeColor="text1"/>
          <w:sz w:val="21"/>
        </w:rPr>
        <w:t xml:space="preserve"> representa o pináculo da inovação da alta relojoaria como visionado pela Zenith. Não se trata de uma complexidade deliberada, mas sim de um verdadeiro avanço para os cronógrafos e alta precisão que se baseia em mais de 50 anos de inovação e na melhoria do cronógrafo automático de alta frequência que começou com o El Primero. Construído como nenhum outro movimento de cronógrafo, está equipado com dois turbilhões independentes completando as rotações em 60 segundos para o turbilhão de cronometragem e 5 segundos para o turbilhão do cronógrafo, tornando-se num dos turbilhões mais rápidos alguma vez concebidos, assim como o único cronógrafo com precisão de 1/100 de segundo, batendo a uma fenomenal frequência de 360 000 VpH.</w:t>
      </w:r>
    </w:p>
    <w:p w14:paraId="65452E26" w14:textId="6AFBB682" w:rsidR="008F1036" w:rsidRPr="008B1ED7" w:rsidRDefault="008F1036" w:rsidP="00C41A67">
      <w:pPr>
        <w:jc w:val="both"/>
        <w:rPr>
          <w:rFonts w:ascii="Avenir Next" w:eastAsia="Times New Roman" w:hAnsi="Avenir Next" w:cs="Arial"/>
          <w:color w:val="000000" w:themeColor="text1"/>
          <w:sz w:val="21"/>
          <w:szCs w:val="21"/>
          <w:lang w:eastAsia="en-GB"/>
        </w:rPr>
      </w:pPr>
    </w:p>
    <w:p w14:paraId="559598D4" w14:textId="07A3B386" w:rsidR="003405F1" w:rsidRPr="00EA353A" w:rsidRDefault="00EA353A" w:rsidP="00C41A67">
      <w:pPr>
        <w:jc w:val="both"/>
        <w:rPr>
          <w:rFonts w:ascii="Avenir Next" w:eastAsia="Times New Roman" w:hAnsi="Avenir Next" w:cs="Arial"/>
          <w:color w:val="000000" w:themeColor="text1"/>
          <w:sz w:val="21"/>
          <w:szCs w:val="21"/>
        </w:rPr>
      </w:pPr>
      <w:r>
        <w:rPr>
          <w:rFonts w:ascii="Avenir Next" w:hAnsi="Avenir Next"/>
          <w:color w:val="000000" w:themeColor="text1"/>
          <w:sz w:val="21"/>
        </w:rPr>
        <w:t>Concebida com a resistência e a robustez em mente, e perfeita para alojar um movimento tão minucioso e complexo, a caixa angular e robusta do DEFY Extreme Double Tourbillon mede 45 mm de largura e está disponível em duas versões. A primeira é concebida em titânio com uma mistura de superfícies acetinadas-escovadas, polidas e mate, incluindo a bracelete, enquanto a segunda é concebida em fibra de carbono com uma luneta de doze lados em ouro rosa jateado mate e protetores dos botões numa bracelete em borracha preta texturizada. O seu mostrador aberto, com contadores de cronógrafos aplicados e elementos transparentes em safira colorida, permite uma visão desobstruída do movimento pioneiro e dos seus dois mecanismos de turbilhão com gaiolas em forma de estrela.</w:t>
      </w:r>
    </w:p>
    <w:p w14:paraId="06E6D9D6" w14:textId="77777777" w:rsidR="00EA353A" w:rsidRPr="008B1ED7" w:rsidRDefault="00EA353A" w:rsidP="00C41A67">
      <w:pPr>
        <w:jc w:val="both"/>
        <w:rPr>
          <w:rFonts w:ascii="Avenir Next" w:eastAsia="Times New Roman" w:hAnsi="Avenir Next" w:cs="Arial"/>
          <w:color w:val="000000" w:themeColor="text1"/>
          <w:sz w:val="21"/>
          <w:szCs w:val="21"/>
          <w:lang w:eastAsia="en-GB"/>
        </w:rPr>
      </w:pPr>
    </w:p>
    <w:p w14:paraId="6EBBC871" w14:textId="6AE6ABB0" w:rsidR="007E78F3" w:rsidRPr="00EA353A" w:rsidRDefault="008F1036" w:rsidP="00C41A67">
      <w:pPr>
        <w:jc w:val="both"/>
        <w:rPr>
          <w:rFonts w:ascii="Avenir Next" w:eastAsia="Times New Roman" w:hAnsi="Avenir Next" w:cs="Arial"/>
          <w:color w:val="000000" w:themeColor="text1"/>
          <w:sz w:val="21"/>
          <w:szCs w:val="21"/>
        </w:rPr>
      </w:pPr>
      <w:r>
        <w:rPr>
          <w:rFonts w:ascii="Avenir Next" w:hAnsi="Avenir Next"/>
          <w:color w:val="000000" w:themeColor="text1"/>
          <w:sz w:val="21"/>
        </w:rPr>
        <w:t>Não é apenas o desempenho excecional do movimento nem a arquitetura extremamente moderna que o tornam impressionante. Algo emblemático nas mais recentes criações relojoeiras de alta joalharia da ZENITH, a decoração do movimento ganha um visual moderno e altamente contrastante que realça a sua natureza futurística. Primeiro, as pontes acetinadas-escovadas e abertas são revestidas por uma camada de PVD preto. De seguida, as extremidades das pontes são realçadas por uma cor rosa dourado, revelando as formas geométricas das pontes, deixando para trás as técnicas tradicionais de decoração relojoeira.</w:t>
      </w:r>
    </w:p>
    <w:p w14:paraId="3209F7EA" w14:textId="43789789" w:rsidR="003405F1" w:rsidRPr="008B1ED7" w:rsidRDefault="003405F1" w:rsidP="00C41A67">
      <w:pPr>
        <w:jc w:val="both"/>
        <w:rPr>
          <w:rFonts w:ascii="Avenir Next" w:eastAsia="Times New Roman" w:hAnsi="Avenir Next" w:cs="Arial"/>
          <w:color w:val="000000" w:themeColor="text1"/>
          <w:sz w:val="21"/>
          <w:szCs w:val="21"/>
          <w:lang w:eastAsia="en-GB"/>
        </w:rPr>
      </w:pPr>
    </w:p>
    <w:p w14:paraId="045A4036" w14:textId="6F5AF5C7" w:rsidR="003405F1" w:rsidRPr="00EA353A" w:rsidRDefault="00EA353A" w:rsidP="00C41A67">
      <w:pPr>
        <w:jc w:val="both"/>
        <w:rPr>
          <w:rFonts w:ascii="Avenir Next" w:hAnsi="Avenir Next"/>
          <w:color w:val="000000" w:themeColor="text1"/>
          <w:sz w:val="21"/>
          <w:szCs w:val="21"/>
        </w:rPr>
      </w:pPr>
      <w:r>
        <w:rPr>
          <w:rFonts w:ascii="Avenir Next" w:hAnsi="Avenir Next"/>
          <w:color w:val="000000" w:themeColor="text1"/>
          <w:sz w:val="21"/>
        </w:rPr>
        <w:t>O DEFY Extreme Double Tourbillon estará disponível nas boutiques físicas e online da ZENITH assim como em distribuidores autorizados de todo o mundo.</w:t>
      </w:r>
    </w:p>
    <w:p w14:paraId="50D1DE9D" w14:textId="49845B0F" w:rsidR="00A00C17" w:rsidRDefault="00A00C17">
      <w:pPr>
        <w:rPr>
          <w:rFonts w:ascii="Arial" w:eastAsia="Times New Roman" w:hAnsi="Arial" w:cs="Arial"/>
          <w:color w:val="222222"/>
        </w:rPr>
      </w:pPr>
      <w:r>
        <w:br w:type="page"/>
      </w:r>
    </w:p>
    <w:p w14:paraId="002B4A2A" w14:textId="77777777" w:rsidR="00A00C17" w:rsidRPr="00A00C17" w:rsidRDefault="00A00C17" w:rsidP="00A00C17">
      <w:pPr>
        <w:rPr>
          <w:rFonts w:ascii="Avenir Next" w:eastAsia="Avenir" w:hAnsi="Avenir Next" w:cs="Avenir"/>
          <w:sz w:val="20"/>
          <w:szCs w:val="20"/>
        </w:rPr>
      </w:pPr>
      <w:r>
        <w:rPr>
          <w:rFonts w:ascii="Avenir Next" w:hAnsi="Avenir Next"/>
          <w:b/>
          <w:sz w:val="20"/>
        </w:rPr>
        <w:lastRenderedPageBreak/>
        <w:t>ZENITH: O CÉU É O LIMITE.</w:t>
      </w:r>
    </w:p>
    <w:p w14:paraId="17C8EAA0" w14:textId="77777777" w:rsidR="00A00C17" w:rsidRPr="00A00C17" w:rsidRDefault="00A00C17" w:rsidP="00A00C17">
      <w:pPr>
        <w:jc w:val="both"/>
        <w:rPr>
          <w:rFonts w:ascii="Avenir Next" w:eastAsia="Avenir" w:hAnsi="Avenir Next" w:cs="Avenir"/>
          <w:sz w:val="20"/>
          <w:szCs w:val="20"/>
        </w:rPr>
      </w:pPr>
      <w:r>
        <w:rPr>
          <w:rFonts w:ascii="Avenir Next" w:hAnsi="Avenir Next"/>
          <w:sz w:val="20"/>
        </w:rPr>
        <w:t>A ZENITH existe para inspirar todas as pessoas a seguirem os seus sonhos e a tornarem-nos realidade, contra todas as probabilidades. Desde a sua fundação em 1865, a ZENITH tornou-se a primeira manufatura relojoeira suíça com integração vertical e os seus relógios têm acompanhado figuras extraordinárias que sonharam mais alto e se esforçaram por alcançar o impossível, desde o voo histórico de Louis Blériot sobre o Canal da Mancha até ao salto em queda livre estratosférico e recordista de Felix Baumgartner. A Zenith está também a destacar mulheres visionárias e pioneiras - celebrando os feitos alcançados e criando a plataforma DREAMHERS, na qual as mulheres podem partilhar as suas experiências e inspirar outras mulheres a concretizar os seus sonhos.</w:t>
      </w:r>
    </w:p>
    <w:p w14:paraId="11DDCCE7" w14:textId="77777777" w:rsidR="00A00C17" w:rsidRPr="008B1ED7" w:rsidRDefault="00A00C17" w:rsidP="00A00C17">
      <w:pPr>
        <w:rPr>
          <w:rFonts w:ascii="Avenir Next" w:eastAsia="Avenir" w:hAnsi="Avenir Next" w:cs="Avenir"/>
          <w:sz w:val="20"/>
          <w:szCs w:val="20"/>
        </w:rPr>
      </w:pPr>
    </w:p>
    <w:p w14:paraId="050A746C" w14:textId="77777777" w:rsidR="00A00C17" w:rsidRPr="00BB6E87" w:rsidRDefault="00A00C17" w:rsidP="00A00C17">
      <w:pPr>
        <w:jc w:val="both"/>
        <w:rPr>
          <w:rFonts w:ascii="Avenir Next" w:eastAsia="Avenir" w:hAnsi="Avenir Next" w:cs="Avenir"/>
          <w:sz w:val="20"/>
          <w:szCs w:val="20"/>
        </w:rPr>
      </w:pPr>
      <w:r>
        <w:rPr>
          <w:rFonts w:ascii="Avenir Next" w:hAnsi="Avenir Next"/>
          <w:sz w:val="20"/>
        </w:rPr>
        <w:t>Tendo na inovação a sua estrela-guia, a ZENITH usa movimentos exclusivos desenvolvidos e manufaturados internamente em todos os seus relógios. Desde a criação do El Primero em 1969, o primeiro calibre de cronógrafo automático do mundo, a ZENITH desenvolveu a mestria na precisão de alta frequência e oferece medições em frações de segundo, com uma precisão de 1/10 de segundo na coleção Chronomaster e de 1/100 de segundo na coleção DEFY. Porque a inovação é sinónimo de responsabilidade, a iniciativa ZENITH HORIZ-ON atesta o compromisso da marca para com a inclusão, diversidade, sustentabilidade e bem-estar dos colaboradores. A Zenith tem vindo a moldar o futuro da relojoaria suíça desde 1865, acompanhando aqueles que ousam desafiar-se a si próprios e alcançar novos patamares. Agora, é a sua vez de atingir o céu.</w:t>
      </w:r>
    </w:p>
    <w:p w14:paraId="75A61973" w14:textId="38A28970" w:rsidR="002C6D82" w:rsidRDefault="002C6D82">
      <w:pPr>
        <w:rPr>
          <w:rFonts w:ascii="Arial" w:eastAsia="Times New Roman" w:hAnsi="Arial" w:cs="Arial"/>
          <w:color w:val="222222"/>
        </w:rPr>
      </w:pPr>
      <w:r>
        <w:br w:type="page"/>
      </w:r>
    </w:p>
    <w:p w14:paraId="0A658431" w14:textId="77777777" w:rsidR="002C6D82" w:rsidRDefault="002C6D82" w:rsidP="002C6D82">
      <w:pPr>
        <w:spacing w:after="160" w:line="259" w:lineRule="auto"/>
        <w:jc w:val="both"/>
        <w:rPr>
          <w:rFonts w:ascii="Avenir Next" w:eastAsiaTheme="minorEastAsia" w:hAnsi="Avenir Next" w:cs="Arial"/>
          <w:b/>
          <w:szCs w:val="20"/>
        </w:rPr>
      </w:pPr>
      <w:r>
        <w:rPr>
          <w:rFonts w:ascii="Avenir Next" w:hAnsi="Avenir Next"/>
          <w:b/>
        </w:rPr>
        <w:lastRenderedPageBreak/>
        <w:t>DEFY EXTREME DOUBLE TOURBILLON</w:t>
      </w:r>
    </w:p>
    <w:p w14:paraId="738CF65B" w14:textId="77777777" w:rsidR="002C6D82" w:rsidRPr="00CB77D3" w:rsidRDefault="002C6D82" w:rsidP="002C6D82">
      <w:pPr>
        <w:spacing w:after="160" w:line="259" w:lineRule="auto"/>
        <w:jc w:val="both"/>
        <w:rPr>
          <w:rFonts w:ascii="Avenir Next" w:eastAsiaTheme="minorEastAsia" w:hAnsi="Avenir Next" w:cs="Arial"/>
          <w:b/>
          <w:szCs w:val="20"/>
        </w:rPr>
      </w:pPr>
      <w:r>
        <w:rPr>
          <w:rFonts w:ascii="Times New Roman" w:hAnsi="Times New Roman"/>
          <w:noProof/>
        </w:rPr>
        <w:drawing>
          <wp:anchor distT="0" distB="0" distL="114300" distR="114300" simplePos="0" relativeHeight="251659264" behindDoc="0" locked="0" layoutInCell="1" allowOverlap="1" wp14:anchorId="19B91D1D" wp14:editId="6D9E90E3">
            <wp:simplePos x="0" y="0"/>
            <wp:positionH relativeFrom="page">
              <wp:align>right</wp:align>
            </wp:positionH>
            <wp:positionV relativeFrom="paragraph">
              <wp:posOffset>83185</wp:posOffset>
            </wp:positionV>
            <wp:extent cx="2520315" cy="3599180"/>
            <wp:effectExtent l="0" t="0" r="0" b="0"/>
            <wp:wrapSquare wrapText="bothSides"/>
            <wp:docPr id="1" name="Image 1" descr="Une image contenant mon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montre&#10;&#10;Description générée automatiqueme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20315" cy="3599180"/>
                    </a:xfrm>
                    <a:prstGeom prst="rect">
                      <a:avLst/>
                    </a:prstGeom>
                  </pic:spPr>
                </pic:pic>
              </a:graphicData>
            </a:graphic>
          </wp:anchor>
        </w:drawing>
      </w:r>
      <w:r>
        <w:rPr>
          <w:rFonts w:ascii="Avenir Next" w:hAnsi="Avenir Next"/>
          <w:sz w:val="18"/>
        </w:rPr>
        <w:t>Referência: 12.9100.9020/78.I200</w:t>
      </w:r>
    </w:p>
    <w:p w14:paraId="01D407DC" w14:textId="77777777" w:rsidR="002C6D82" w:rsidRPr="00CB77D3" w:rsidRDefault="002C6D82" w:rsidP="002C6D82">
      <w:pPr>
        <w:spacing w:after="40" w:line="276" w:lineRule="auto"/>
        <w:jc w:val="both"/>
        <w:rPr>
          <w:rFonts w:ascii="Avenir Next" w:eastAsiaTheme="minorEastAsia" w:hAnsi="Avenir Next" w:cs="Arial"/>
          <w:sz w:val="18"/>
          <w:szCs w:val="20"/>
        </w:rPr>
      </w:pPr>
      <w:r>
        <w:rPr>
          <w:rFonts w:ascii="Avenir Next" w:hAnsi="Avenir Next"/>
          <w:b/>
          <w:sz w:val="18"/>
        </w:rPr>
        <w:t xml:space="preserve">Pontos principais: </w:t>
      </w:r>
      <w:r>
        <w:rPr>
          <w:rFonts w:ascii="Avenir Next" w:hAnsi="Avenir Next"/>
          <w:sz w:val="18"/>
        </w:rPr>
        <w:t>Double Tourbillon com precisão de 1/100 de segundo. Movimento de cronógrafo. 1 escape de Turbilhão para o Relógio (36 000 VpH – 5 Hz); 1 escape de Turbilhão para o Cronógrafo (360 000 VpH – 50 Hz). Assinatura dinâmica exclusiva de uma rotação por segundo para o ponteiro de cronógrafo. Cronómetro Certificado. 2 braceletes incluídas: 2 em Velcro (efeito carbono e efeito “cordura”)</w:t>
      </w:r>
    </w:p>
    <w:p w14:paraId="3E3E2DB5" w14:textId="77777777" w:rsidR="002C6D82" w:rsidRPr="002C6D82" w:rsidRDefault="002C6D82" w:rsidP="002C6D82">
      <w:pPr>
        <w:spacing w:after="40" w:line="276" w:lineRule="auto"/>
        <w:jc w:val="both"/>
        <w:rPr>
          <w:rFonts w:ascii="Avenir Next" w:eastAsiaTheme="minorEastAsia" w:hAnsi="Avenir Next" w:cs="Arial"/>
          <w:sz w:val="18"/>
          <w:szCs w:val="20"/>
        </w:rPr>
      </w:pPr>
      <w:r>
        <w:rPr>
          <w:rFonts w:ascii="Avenir Next" w:hAnsi="Avenir Next"/>
          <w:b/>
          <w:sz w:val="18"/>
        </w:rPr>
        <w:t xml:space="preserve">Movimento: </w:t>
      </w:r>
      <w:r>
        <w:rPr>
          <w:rFonts w:ascii="Avenir Next" w:hAnsi="Avenir Next"/>
          <w:sz w:val="18"/>
        </w:rPr>
        <w:t>El Primero 9020</w:t>
      </w:r>
    </w:p>
    <w:p w14:paraId="726C47BA" w14:textId="492E6372" w:rsidR="002C6D82" w:rsidRPr="002C6D82" w:rsidRDefault="002C6D82" w:rsidP="002C6D82">
      <w:pPr>
        <w:spacing w:after="40" w:line="276" w:lineRule="auto"/>
        <w:jc w:val="both"/>
        <w:rPr>
          <w:rFonts w:ascii="Avenir Next" w:eastAsiaTheme="minorEastAsia" w:hAnsi="Avenir Next" w:cs="Arial"/>
          <w:sz w:val="18"/>
          <w:szCs w:val="20"/>
        </w:rPr>
      </w:pPr>
      <w:r>
        <w:rPr>
          <w:rFonts w:ascii="Avenir Next" w:hAnsi="Avenir Next"/>
          <w:b/>
          <w:bCs/>
          <w:sz w:val="18"/>
        </w:rPr>
        <w:t>Reserva de marcha:</w:t>
      </w:r>
      <w:r>
        <w:rPr>
          <w:rFonts w:ascii="Avenir Next" w:hAnsi="Avenir Next"/>
          <w:sz w:val="18"/>
        </w:rPr>
        <w:t xml:space="preserve"> mínimo de 50 horas para o relógio / 50 minutos para o cronógrafo</w:t>
      </w:r>
    </w:p>
    <w:p w14:paraId="3F08ACA5" w14:textId="77777777" w:rsidR="002C6D82" w:rsidRPr="002C6D82" w:rsidRDefault="002C6D82" w:rsidP="002C6D82">
      <w:pPr>
        <w:spacing w:after="40" w:line="276" w:lineRule="auto"/>
        <w:jc w:val="both"/>
        <w:rPr>
          <w:rFonts w:ascii="Avenir Next" w:eastAsiaTheme="minorEastAsia" w:hAnsi="Avenir Next" w:cs="Arial"/>
          <w:sz w:val="18"/>
          <w:szCs w:val="20"/>
        </w:rPr>
      </w:pPr>
      <w:r>
        <w:rPr>
          <w:rFonts w:ascii="Avenir Next" w:hAnsi="Avenir Next"/>
          <w:b/>
          <w:sz w:val="18"/>
        </w:rPr>
        <w:t xml:space="preserve">Funções: </w:t>
      </w:r>
      <w:r>
        <w:rPr>
          <w:rFonts w:ascii="Avenir Next" w:hAnsi="Avenir Next"/>
          <w:sz w:val="18"/>
        </w:rPr>
        <w:t xml:space="preserve">Horas e minutos no centro. Double Tourbillon. 1 escape para o relógio (36 000 VpH / 5 Hz - a gaiola completa uma rotação em 60 segundos). 1 escape para o Cronógrafo (360 000 VpH / 50 Hz - a gaiola completa uma rotação em 5 segundos). Cronógrafo com precisão de 1/100 de segundo:  </w:t>
      </w:r>
    </w:p>
    <w:p w14:paraId="4AD41C5E" w14:textId="77777777" w:rsidR="002C6D82" w:rsidRPr="002C6D82" w:rsidRDefault="002C6D82" w:rsidP="002C6D82">
      <w:pPr>
        <w:spacing w:after="40" w:line="276" w:lineRule="auto"/>
        <w:jc w:val="both"/>
        <w:rPr>
          <w:rFonts w:ascii="Avenir Next" w:eastAsiaTheme="minorEastAsia" w:hAnsi="Avenir Next" w:cs="Arial"/>
          <w:sz w:val="18"/>
          <w:szCs w:val="20"/>
        </w:rPr>
      </w:pPr>
      <w:r>
        <w:rPr>
          <w:rFonts w:ascii="Avenir Next" w:hAnsi="Avenir Next"/>
          <w:sz w:val="18"/>
        </w:rPr>
        <w:t>- Ponteiro de cronógrafo central que dá uma volta a cada segundo</w:t>
      </w:r>
    </w:p>
    <w:p w14:paraId="4651279A" w14:textId="77777777" w:rsidR="002C6D82" w:rsidRPr="002C6D82" w:rsidRDefault="002C6D82" w:rsidP="002C6D82">
      <w:pPr>
        <w:spacing w:after="40" w:line="276" w:lineRule="auto"/>
        <w:jc w:val="both"/>
        <w:rPr>
          <w:rFonts w:ascii="Avenir Next" w:eastAsiaTheme="minorEastAsia" w:hAnsi="Avenir Next" w:cs="Arial"/>
          <w:sz w:val="18"/>
          <w:szCs w:val="20"/>
        </w:rPr>
      </w:pPr>
      <w:r>
        <w:rPr>
          <w:rFonts w:ascii="Avenir Next" w:hAnsi="Avenir Next"/>
          <w:sz w:val="18"/>
        </w:rPr>
        <w:t>– Contador de 30 minutos às 3 horas</w:t>
      </w:r>
    </w:p>
    <w:p w14:paraId="3269168A" w14:textId="77777777" w:rsidR="002C6D82" w:rsidRPr="002C6D82" w:rsidRDefault="002C6D82" w:rsidP="002C6D82">
      <w:pPr>
        <w:spacing w:after="40" w:line="276" w:lineRule="auto"/>
        <w:jc w:val="both"/>
        <w:rPr>
          <w:rFonts w:ascii="Avenir Next" w:eastAsiaTheme="minorEastAsia" w:hAnsi="Avenir Next" w:cs="Arial"/>
          <w:sz w:val="18"/>
          <w:szCs w:val="20"/>
        </w:rPr>
      </w:pPr>
      <w:r>
        <w:rPr>
          <w:rFonts w:ascii="Avenir Next" w:hAnsi="Avenir Next"/>
          <w:sz w:val="18"/>
        </w:rPr>
        <w:t>- Contador de 60 segundos às 6 horas</w:t>
      </w:r>
    </w:p>
    <w:p w14:paraId="04926C93" w14:textId="77777777" w:rsidR="002C6D82" w:rsidRPr="002C6D82" w:rsidRDefault="002C6D82" w:rsidP="002C6D82">
      <w:pPr>
        <w:spacing w:after="40" w:line="276" w:lineRule="auto"/>
        <w:jc w:val="both"/>
        <w:rPr>
          <w:rFonts w:ascii="Avenir Next" w:eastAsiaTheme="minorEastAsia" w:hAnsi="Avenir Next" w:cs="Arial"/>
          <w:sz w:val="18"/>
          <w:szCs w:val="20"/>
        </w:rPr>
      </w:pPr>
      <w:r>
        <w:rPr>
          <w:rFonts w:ascii="Avenir Next" w:hAnsi="Avenir Next"/>
          <w:sz w:val="18"/>
        </w:rPr>
        <w:t>- Indicação de reserva de marcha do cronógrafo às 12 horas</w:t>
      </w:r>
    </w:p>
    <w:p w14:paraId="005BFEF9" w14:textId="77777777" w:rsidR="002C6D82" w:rsidRPr="002C6D82" w:rsidRDefault="002C6D82" w:rsidP="002C6D82">
      <w:pPr>
        <w:spacing w:after="40" w:line="276" w:lineRule="auto"/>
        <w:jc w:val="both"/>
        <w:rPr>
          <w:rFonts w:ascii="Avenir Next" w:eastAsiaTheme="minorEastAsia" w:hAnsi="Avenir Next" w:cs="Arial"/>
          <w:sz w:val="18"/>
          <w:szCs w:val="20"/>
        </w:rPr>
      </w:pPr>
      <w:r>
        <w:rPr>
          <w:rFonts w:ascii="Avenir Next" w:hAnsi="Avenir Next"/>
          <w:b/>
          <w:sz w:val="18"/>
        </w:rPr>
        <w:t>Acabamentos:</w:t>
      </w:r>
      <w:r>
        <w:rPr>
          <w:rFonts w:ascii="Avenir Next" w:hAnsi="Avenir Next"/>
          <w:sz w:val="18"/>
        </w:rPr>
        <w:t xml:space="preserve"> Massa oscilante especial com acabamentos acetinados</w:t>
      </w:r>
    </w:p>
    <w:p w14:paraId="64515971" w14:textId="77777777" w:rsidR="002C6D82" w:rsidRPr="002C6D82" w:rsidRDefault="002C6D82" w:rsidP="002C6D82">
      <w:pPr>
        <w:spacing w:after="40" w:line="276" w:lineRule="auto"/>
        <w:jc w:val="both"/>
        <w:rPr>
          <w:rFonts w:ascii="Avenir Next" w:eastAsiaTheme="minorEastAsia" w:hAnsi="Avenir Next" w:cs="Arial"/>
          <w:sz w:val="18"/>
          <w:szCs w:val="20"/>
        </w:rPr>
      </w:pPr>
      <w:r>
        <w:rPr>
          <w:rFonts w:ascii="Avenir Next" w:hAnsi="Avenir Next"/>
          <w:b/>
          <w:sz w:val="18"/>
        </w:rPr>
        <w:t>Preço:</w:t>
      </w:r>
      <w:r>
        <w:rPr>
          <w:rFonts w:ascii="Avenir Next" w:hAnsi="Avenir Next"/>
          <w:sz w:val="18"/>
        </w:rPr>
        <w:t xml:space="preserve"> 79000</w:t>
      </w:r>
    </w:p>
    <w:p w14:paraId="1FE12CBB" w14:textId="77777777" w:rsidR="002C6D82" w:rsidRPr="002C6D82" w:rsidRDefault="002C6D82" w:rsidP="002C6D82">
      <w:pPr>
        <w:spacing w:after="40" w:line="276" w:lineRule="auto"/>
        <w:jc w:val="both"/>
        <w:rPr>
          <w:rFonts w:ascii="Avenir Next" w:eastAsiaTheme="minorEastAsia" w:hAnsi="Avenir Next" w:cs="Arial"/>
          <w:sz w:val="18"/>
          <w:szCs w:val="20"/>
        </w:rPr>
      </w:pPr>
      <w:r>
        <w:rPr>
          <w:rFonts w:ascii="Avenir Next" w:hAnsi="Avenir Next"/>
          <w:b/>
          <w:sz w:val="18"/>
        </w:rPr>
        <w:t>Material:</w:t>
      </w:r>
      <w:r>
        <w:rPr>
          <w:rFonts w:ascii="Avenir Next" w:hAnsi="Avenir Next"/>
          <w:sz w:val="18"/>
        </w:rPr>
        <w:t xml:space="preserve"> Carbono preto e ouro rosa de 18 quilates</w:t>
      </w:r>
    </w:p>
    <w:p w14:paraId="1C7DBA48" w14:textId="77777777" w:rsidR="002C6D82" w:rsidRPr="002C6D82" w:rsidRDefault="002C6D82" w:rsidP="002C6D82">
      <w:pPr>
        <w:spacing w:after="40" w:line="276" w:lineRule="auto"/>
        <w:jc w:val="both"/>
        <w:rPr>
          <w:rFonts w:ascii="Avenir Next" w:eastAsiaTheme="minorEastAsia" w:hAnsi="Avenir Next" w:cs="Arial"/>
          <w:sz w:val="18"/>
          <w:szCs w:val="20"/>
        </w:rPr>
      </w:pPr>
      <w:r>
        <w:rPr>
          <w:rFonts w:ascii="Avenir Next" w:hAnsi="Avenir Next"/>
          <w:b/>
          <w:sz w:val="18"/>
        </w:rPr>
        <w:t>Estanqueidade</w:t>
      </w:r>
      <w:r>
        <w:rPr>
          <w:rFonts w:ascii="Avenir Next" w:hAnsi="Avenir Next"/>
          <w:sz w:val="18"/>
        </w:rPr>
        <w:t>: 20 ATM</w:t>
      </w:r>
      <w:r>
        <w:rPr>
          <w:rFonts w:ascii="Times New Roman" w:hAnsi="Times New Roman"/>
        </w:rPr>
        <w:t xml:space="preserve"> </w:t>
      </w:r>
    </w:p>
    <w:p w14:paraId="1E60266A" w14:textId="77777777" w:rsidR="002C6D82" w:rsidRPr="002C6D82" w:rsidRDefault="002C6D82" w:rsidP="002C6D82">
      <w:pPr>
        <w:spacing w:after="40" w:line="276" w:lineRule="auto"/>
        <w:jc w:val="both"/>
        <w:rPr>
          <w:rFonts w:ascii="Avenir Next" w:eastAsiaTheme="minorEastAsia" w:hAnsi="Avenir Next" w:cs="Arial"/>
          <w:sz w:val="18"/>
          <w:szCs w:val="20"/>
        </w:rPr>
      </w:pPr>
      <w:r>
        <w:rPr>
          <w:rFonts w:ascii="Avenir Next" w:hAnsi="Avenir Next"/>
          <w:b/>
          <w:sz w:val="18"/>
        </w:rPr>
        <w:t>Mostrador:</w:t>
      </w:r>
      <w:r>
        <w:rPr>
          <w:rFonts w:ascii="Times New Roman" w:hAnsi="Times New Roman"/>
        </w:rPr>
        <w:t xml:space="preserve"> </w:t>
      </w:r>
      <w:r>
        <w:rPr>
          <w:rFonts w:ascii="Avenir Next" w:hAnsi="Avenir Next"/>
          <w:sz w:val="18"/>
        </w:rPr>
        <w:t>Trabalhado com aberturas</w:t>
      </w:r>
    </w:p>
    <w:p w14:paraId="69AE6435" w14:textId="77777777" w:rsidR="002C6D82" w:rsidRPr="002C6D82" w:rsidRDefault="002C6D82" w:rsidP="002C6D82">
      <w:pPr>
        <w:spacing w:after="40" w:line="276" w:lineRule="auto"/>
        <w:jc w:val="both"/>
        <w:rPr>
          <w:rFonts w:ascii="Avenir Next" w:eastAsiaTheme="minorEastAsia" w:hAnsi="Avenir Next" w:cs="Arial"/>
          <w:sz w:val="18"/>
          <w:szCs w:val="20"/>
        </w:rPr>
      </w:pPr>
      <w:r>
        <w:rPr>
          <w:rFonts w:ascii="Avenir Next" w:hAnsi="Avenir Next"/>
          <w:b/>
          <w:sz w:val="18"/>
        </w:rPr>
        <w:t>Caixa:</w:t>
      </w:r>
      <w:r>
        <w:rPr>
          <w:rFonts w:ascii="Avenir Next" w:hAnsi="Avenir Next"/>
          <w:sz w:val="18"/>
        </w:rPr>
        <w:t xml:space="preserve"> 45 mm</w:t>
      </w:r>
    </w:p>
    <w:p w14:paraId="62472BD4" w14:textId="77777777" w:rsidR="002C6D82" w:rsidRPr="002C6D82" w:rsidRDefault="002C6D82" w:rsidP="002C6D82">
      <w:pPr>
        <w:spacing w:after="40" w:line="276" w:lineRule="auto"/>
        <w:jc w:val="both"/>
        <w:rPr>
          <w:rFonts w:ascii="Avenir Next" w:eastAsiaTheme="minorEastAsia" w:hAnsi="Avenir Next" w:cs="Arial"/>
          <w:sz w:val="18"/>
          <w:szCs w:val="20"/>
        </w:rPr>
      </w:pPr>
      <w:r>
        <w:rPr>
          <w:rFonts w:ascii="Avenir Next" w:hAnsi="Avenir Next"/>
          <w:b/>
          <w:sz w:val="18"/>
        </w:rPr>
        <w:t>Índices das horas:</w:t>
      </w:r>
      <w:r>
        <w:rPr>
          <w:rFonts w:ascii="Avenir Next" w:hAnsi="Avenir Next"/>
          <w:sz w:val="18"/>
        </w:rPr>
        <w:t xml:space="preserve"> Revestidos a ouro, facetados e revestidos com Super-LumiNova SLN C1 [índices das horas]</w:t>
      </w:r>
    </w:p>
    <w:p w14:paraId="5F695767" w14:textId="77777777" w:rsidR="002C6D82" w:rsidRPr="002C6D82" w:rsidRDefault="002C6D82" w:rsidP="002C6D82">
      <w:pPr>
        <w:spacing w:after="40" w:line="276" w:lineRule="auto"/>
        <w:jc w:val="both"/>
        <w:rPr>
          <w:rFonts w:ascii="Avenir Next" w:eastAsiaTheme="minorEastAsia" w:hAnsi="Avenir Next" w:cs="Arial"/>
          <w:sz w:val="18"/>
          <w:szCs w:val="20"/>
        </w:rPr>
      </w:pPr>
      <w:r>
        <w:rPr>
          <w:rFonts w:ascii="Avenir Next" w:hAnsi="Avenir Next"/>
          <w:b/>
          <w:sz w:val="18"/>
        </w:rPr>
        <w:t>Ponteiros</w:t>
      </w:r>
      <w:r>
        <w:rPr>
          <w:rFonts w:ascii="Avenir Next" w:hAnsi="Avenir Next"/>
          <w:sz w:val="18"/>
        </w:rPr>
        <w:t>: Revestidos a ouro, facetados e revestidos com Super-LumiNova SLN C1 [Ponteiros]</w:t>
      </w:r>
    </w:p>
    <w:p w14:paraId="674B0021" w14:textId="6964E02E" w:rsidR="002C6D82" w:rsidRPr="002C6D82" w:rsidRDefault="000C215B" w:rsidP="002C6D82">
      <w:pPr>
        <w:spacing w:after="40" w:line="276" w:lineRule="auto"/>
        <w:jc w:val="both"/>
        <w:rPr>
          <w:rFonts w:ascii="Avenir Next" w:eastAsiaTheme="minorEastAsia" w:hAnsi="Avenir Next" w:cs="Arial"/>
          <w:sz w:val="18"/>
          <w:szCs w:val="20"/>
        </w:rPr>
      </w:pPr>
      <w:r>
        <w:rPr>
          <w:rFonts w:ascii="Avenir Next" w:hAnsi="Avenir Next"/>
          <w:b/>
          <w:sz w:val="18"/>
        </w:rPr>
        <w:t>Bracelete e fecho:</w:t>
      </w:r>
      <w:r>
        <w:rPr>
          <w:rFonts w:ascii="Avenir Next" w:hAnsi="Avenir Next"/>
          <w:sz w:val="18"/>
        </w:rPr>
        <w:t xml:space="preserve"> Borracha preta com fecho triplo extensível em titânio microjateado</w:t>
      </w:r>
    </w:p>
    <w:p w14:paraId="4350D98A" w14:textId="77777777" w:rsidR="002C6D82" w:rsidRPr="008B1ED7" w:rsidRDefault="002C6D82" w:rsidP="002C6D82">
      <w:pPr>
        <w:rPr>
          <w:rFonts w:ascii="Times New Roman" w:eastAsia="Times New Roman" w:hAnsi="Times New Roman" w:cs="Times New Roman"/>
          <w:sz w:val="18"/>
          <w:szCs w:val="18"/>
          <w:lang w:val="it-IT" w:eastAsia="en-GB"/>
        </w:rPr>
      </w:pPr>
    </w:p>
    <w:p w14:paraId="0FB65E06" w14:textId="77777777" w:rsidR="002C6D82" w:rsidRPr="008B1ED7" w:rsidRDefault="002C6D82" w:rsidP="002C6D82">
      <w:pPr>
        <w:jc w:val="both"/>
        <w:rPr>
          <w:rFonts w:ascii="Avenir Next" w:hAnsi="Avenir Next"/>
          <w:color w:val="000000" w:themeColor="text1"/>
          <w:sz w:val="21"/>
          <w:szCs w:val="21"/>
          <w:lang w:val="it-IT"/>
        </w:rPr>
      </w:pPr>
    </w:p>
    <w:p w14:paraId="6241CC51" w14:textId="77777777" w:rsidR="002C6D82" w:rsidRPr="002C6D82" w:rsidRDefault="002C6D82" w:rsidP="002C6D82">
      <w:pPr>
        <w:rPr>
          <w:rFonts w:ascii="Avenir Next" w:eastAsiaTheme="minorEastAsia" w:hAnsi="Avenir Next" w:cs="Arial"/>
          <w:b/>
          <w:szCs w:val="20"/>
        </w:rPr>
      </w:pPr>
      <w:r>
        <w:br w:type="page"/>
      </w:r>
    </w:p>
    <w:p w14:paraId="11482BDA" w14:textId="77777777" w:rsidR="002C6D82" w:rsidRPr="002C6D82" w:rsidRDefault="002C6D82" w:rsidP="002C6D82">
      <w:pPr>
        <w:spacing w:after="160" w:line="259" w:lineRule="auto"/>
        <w:rPr>
          <w:rFonts w:ascii="Avenir Next" w:eastAsiaTheme="minorEastAsia" w:hAnsi="Avenir Next" w:cs="Arial"/>
          <w:b/>
          <w:szCs w:val="20"/>
        </w:rPr>
      </w:pPr>
      <w:r>
        <w:rPr>
          <w:rFonts w:ascii="Avenir Next" w:hAnsi="Avenir Next"/>
          <w:b/>
        </w:rPr>
        <w:lastRenderedPageBreak/>
        <w:t>DEFY EXTREME DOUBLE TOURBILLON</w:t>
      </w:r>
    </w:p>
    <w:p w14:paraId="18C6F74E" w14:textId="77777777" w:rsidR="002C6D82" w:rsidRPr="002C6D82" w:rsidRDefault="002C6D82" w:rsidP="002C6D82">
      <w:pPr>
        <w:spacing w:after="160" w:line="259" w:lineRule="auto"/>
        <w:rPr>
          <w:rFonts w:ascii="Avenir Next" w:eastAsiaTheme="minorEastAsia" w:hAnsi="Avenir Next" w:cs="Arial"/>
          <w:b/>
          <w:szCs w:val="20"/>
        </w:rPr>
      </w:pPr>
      <w:r>
        <w:rPr>
          <w:rFonts w:ascii="Avenir Next" w:hAnsi="Avenir Next"/>
          <w:sz w:val="18"/>
        </w:rPr>
        <w:t>Referência: 95.9100.9020/78.I001</w:t>
      </w:r>
    </w:p>
    <w:p w14:paraId="240A2C27" w14:textId="77777777" w:rsidR="002C6D82" w:rsidRPr="002C6D82" w:rsidRDefault="002C6D82" w:rsidP="002C6D82">
      <w:pPr>
        <w:spacing w:after="40" w:line="276" w:lineRule="auto"/>
        <w:rPr>
          <w:rFonts w:ascii="Avenir Next" w:eastAsiaTheme="minorEastAsia" w:hAnsi="Avenir Next" w:cs="Arial"/>
          <w:sz w:val="18"/>
          <w:szCs w:val="20"/>
        </w:rPr>
      </w:pPr>
      <w:r>
        <w:rPr>
          <w:rFonts w:ascii="Avenir Next" w:hAnsi="Avenir Next"/>
          <w:noProof/>
          <w:color w:val="000000" w:themeColor="text1"/>
          <w:sz w:val="21"/>
        </w:rPr>
        <w:drawing>
          <wp:anchor distT="0" distB="0" distL="114300" distR="114300" simplePos="0" relativeHeight="251660288" behindDoc="0" locked="0" layoutInCell="1" allowOverlap="1" wp14:anchorId="77294CDF" wp14:editId="06770352">
            <wp:simplePos x="0" y="0"/>
            <wp:positionH relativeFrom="margin">
              <wp:posOffset>3963670</wp:posOffset>
            </wp:positionH>
            <wp:positionV relativeFrom="margin">
              <wp:posOffset>609600</wp:posOffset>
            </wp:positionV>
            <wp:extent cx="2520315" cy="3599180"/>
            <wp:effectExtent l="0" t="0" r="0" b="0"/>
            <wp:wrapSquare wrapText="bothSides"/>
            <wp:docPr id="2" name="Image 2" descr="Une image contenant mon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montre&#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20315" cy="3599180"/>
                    </a:xfrm>
                    <a:prstGeom prst="rect">
                      <a:avLst/>
                    </a:prstGeom>
                  </pic:spPr>
                </pic:pic>
              </a:graphicData>
            </a:graphic>
          </wp:anchor>
        </w:drawing>
      </w:r>
      <w:r>
        <w:rPr>
          <w:rFonts w:ascii="Avenir Next" w:hAnsi="Avenir Next"/>
          <w:b/>
          <w:sz w:val="18"/>
        </w:rPr>
        <w:t xml:space="preserve">Pontos principais: </w:t>
      </w:r>
      <w:r>
        <w:rPr>
          <w:rFonts w:ascii="Avenir Next" w:hAnsi="Avenir Next"/>
          <w:sz w:val="18"/>
        </w:rPr>
        <w:t>Double Tourbillon com precisão de 1/100 de segundo. Movimento de cronógrafo. 1 escape de Turbilhão para o Relógio (36 000 VpH – 5 Hz); 1 escape de Turbilhão para o Cronógrafo (360 000 VpH – 50 Hz). Assinatura dinâmica exclusiva de uma rotação por segundo para o ponteiro de cronógrafo. Cronómetro Certificado. 2 braceletes incluídas:</w:t>
      </w:r>
      <w:r>
        <w:t xml:space="preserve"> </w:t>
      </w:r>
      <w:r>
        <w:rPr>
          <w:rFonts w:ascii="Avenir Next" w:hAnsi="Avenir Next"/>
          <w:sz w:val="18"/>
        </w:rPr>
        <w:t>1 em borracha com fecho desdobrável e 1 em Velcro</w:t>
      </w:r>
    </w:p>
    <w:p w14:paraId="354C8C37" w14:textId="77777777" w:rsidR="002C6D82" w:rsidRPr="002C6D82" w:rsidRDefault="002C6D82" w:rsidP="002C6D82">
      <w:pPr>
        <w:spacing w:after="40" w:line="276" w:lineRule="auto"/>
        <w:rPr>
          <w:rFonts w:ascii="Avenir Next" w:eastAsiaTheme="minorEastAsia" w:hAnsi="Avenir Next" w:cs="Arial"/>
          <w:sz w:val="18"/>
          <w:szCs w:val="20"/>
        </w:rPr>
      </w:pPr>
      <w:r>
        <w:rPr>
          <w:rFonts w:ascii="Avenir Next" w:hAnsi="Avenir Next"/>
          <w:b/>
          <w:sz w:val="18"/>
        </w:rPr>
        <w:t xml:space="preserve">Movimento: </w:t>
      </w:r>
      <w:r>
        <w:rPr>
          <w:rFonts w:ascii="Avenir Next" w:hAnsi="Avenir Next"/>
          <w:sz w:val="18"/>
        </w:rPr>
        <w:t>El Primero 9020</w:t>
      </w:r>
    </w:p>
    <w:p w14:paraId="54ABEEB9" w14:textId="6A0AD2B8" w:rsidR="002C6D82" w:rsidRPr="002C6D82" w:rsidRDefault="002C6D82" w:rsidP="002C6D82">
      <w:pPr>
        <w:spacing w:after="40" w:line="276" w:lineRule="auto"/>
        <w:rPr>
          <w:rFonts w:ascii="Avenir Next" w:eastAsiaTheme="minorEastAsia" w:hAnsi="Avenir Next" w:cs="Arial"/>
          <w:sz w:val="18"/>
          <w:szCs w:val="20"/>
        </w:rPr>
      </w:pPr>
      <w:r>
        <w:rPr>
          <w:rFonts w:ascii="Avenir Next" w:hAnsi="Avenir Next"/>
          <w:b/>
          <w:bCs/>
          <w:sz w:val="18"/>
        </w:rPr>
        <w:t>Reserva de marcha:</w:t>
      </w:r>
      <w:r>
        <w:rPr>
          <w:rFonts w:ascii="Avenir Next" w:hAnsi="Avenir Next"/>
          <w:sz w:val="18"/>
        </w:rPr>
        <w:t xml:space="preserve"> mínimo de 50 horas para o relógio / 50 minutos para o cronógrafo</w:t>
      </w:r>
    </w:p>
    <w:p w14:paraId="62F219C1" w14:textId="77777777" w:rsidR="002C6D82" w:rsidRPr="002C6D82" w:rsidRDefault="002C6D82" w:rsidP="002C6D82">
      <w:pPr>
        <w:spacing w:after="40" w:line="276" w:lineRule="auto"/>
        <w:rPr>
          <w:rFonts w:ascii="Avenir Next" w:eastAsiaTheme="minorEastAsia" w:hAnsi="Avenir Next" w:cs="Arial"/>
          <w:sz w:val="18"/>
          <w:szCs w:val="20"/>
        </w:rPr>
      </w:pPr>
      <w:r>
        <w:rPr>
          <w:rFonts w:ascii="Avenir Next" w:hAnsi="Avenir Next"/>
          <w:b/>
          <w:sz w:val="18"/>
        </w:rPr>
        <w:t xml:space="preserve">Funções: </w:t>
      </w:r>
      <w:r>
        <w:rPr>
          <w:rFonts w:ascii="Avenir Next" w:hAnsi="Avenir Next"/>
          <w:sz w:val="18"/>
        </w:rPr>
        <w:t xml:space="preserve">Horas e minutos no centro. Double Tourbillon. 1 escape para o relógio (36 000 VpH / 5 Hz - a gaiola completa uma rotação em 60 segundos). 1 escape para o Cronógrafo (360 000 VpH / 50 Hz - a gaiola completa uma rotação em 5 segundos). Cronógrafo com precisão de 1/100 de segundo:  </w:t>
      </w:r>
    </w:p>
    <w:p w14:paraId="7CD2E630" w14:textId="77777777" w:rsidR="002C6D82" w:rsidRPr="002C6D82" w:rsidRDefault="002C6D82" w:rsidP="002C6D82">
      <w:pPr>
        <w:spacing w:after="40" w:line="276" w:lineRule="auto"/>
        <w:rPr>
          <w:rFonts w:ascii="Avenir Next" w:eastAsiaTheme="minorEastAsia" w:hAnsi="Avenir Next" w:cs="Arial"/>
          <w:sz w:val="18"/>
          <w:szCs w:val="20"/>
        </w:rPr>
      </w:pPr>
      <w:r>
        <w:rPr>
          <w:rFonts w:ascii="Avenir Next" w:hAnsi="Avenir Next"/>
          <w:sz w:val="18"/>
        </w:rPr>
        <w:t>- Ponteiro de cronógrafo central que dá uma volta a cada segundo</w:t>
      </w:r>
    </w:p>
    <w:p w14:paraId="41D5C0EA" w14:textId="77777777" w:rsidR="002C6D82" w:rsidRPr="002C6D82" w:rsidRDefault="002C6D82" w:rsidP="002C6D82">
      <w:pPr>
        <w:spacing w:after="40" w:line="276" w:lineRule="auto"/>
        <w:rPr>
          <w:rFonts w:ascii="Avenir Next" w:eastAsiaTheme="minorEastAsia" w:hAnsi="Avenir Next" w:cs="Arial"/>
          <w:sz w:val="18"/>
          <w:szCs w:val="20"/>
        </w:rPr>
      </w:pPr>
      <w:r>
        <w:rPr>
          <w:rFonts w:ascii="Avenir Next" w:hAnsi="Avenir Next"/>
          <w:sz w:val="18"/>
        </w:rPr>
        <w:t>– Contador de 30 minutos às 3 horas</w:t>
      </w:r>
    </w:p>
    <w:p w14:paraId="4056A60D" w14:textId="77777777" w:rsidR="002C6D82" w:rsidRPr="002C6D82" w:rsidRDefault="002C6D82" w:rsidP="002C6D82">
      <w:pPr>
        <w:spacing w:after="40" w:line="276" w:lineRule="auto"/>
        <w:rPr>
          <w:rFonts w:ascii="Avenir Next" w:eastAsiaTheme="minorEastAsia" w:hAnsi="Avenir Next" w:cs="Arial"/>
          <w:sz w:val="18"/>
          <w:szCs w:val="20"/>
        </w:rPr>
      </w:pPr>
      <w:r>
        <w:rPr>
          <w:rFonts w:ascii="Avenir Next" w:hAnsi="Avenir Next"/>
          <w:sz w:val="18"/>
        </w:rPr>
        <w:t>- Contador de 60 segundos às 6 horas</w:t>
      </w:r>
    </w:p>
    <w:p w14:paraId="572D20C8" w14:textId="77777777" w:rsidR="002C6D82" w:rsidRPr="002C6D82" w:rsidRDefault="002C6D82" w:rsidP="002C6D82">
      <w:pPr>
        <w:spacing w:after="40" w:line="276" w:lineRule="auto"/>
        <w:rPr>
          <w:rFonts w:ascii="Avenir Next" w:eastAsiaTheme="minorEastAsia" w:hAnsi="Avenir Next" w:cs="Arial"/>
          <w:sz w:val="18"/>
          <w:szCs w:val="20"/>
        </w:rPr>
      </w:pPr>
      <w:r>
        <w:rPr>
          <w:rFonts w:ascii="Avenir Next" w:hAnsi="Avenir Next"/>
          <w:sz w:val="18"/>
        </w:rPr>
        <w:t>- Indicação de reserva de marcha do cronógrafo às 12 horas</w:t>
      </w:r>
    </w:p>
    <w:p w14:paraId="794F6D3F" w14:textId="77777777" w:rsidR="002C6D82" w:rsidRPr="002C6D82" w:rsidRDefault="002C6D82" w:rsidP="002C6D82">
      <w:pPr>
        <w:spacing w:after="40" w:line="276" w:lineRule="auto"/>
        <w:rPr>
          <w:rFonts w:ascii="Avenir Next" w:eastAsiaTheme="minorEastAsia" w:hAnsi="Avenir Next" w:cs="Arial"/>
          <w:sz w:val="18"/>
          <w:szCs w:val="20"/>
        </w:rPr>
      </w:pPr>
      <w:r>
        <w:rPr>
          <w:rFonts w:ascii="Avenir Next" w:hAnsi="Avenir Next"/>
          <w:b/>
          <w:sz w:val="18"/>
        </w:rPr>
        <w:t>Acabamentos:</w:t>
      </w:r>
      <w:r>
        <w:rPr>
          <w:rFonts w:ascii="Avenir Next" w:hAnsi="Avenir Next"/>
          <w:sz w:val="18"/>
        </w:rPr>
        <w:t xml:space="preserve"> Massa oscilante especial com acabamentos acetinados</w:t>
      </w:r>
    </w:p>
    <w:p w14:paraId="771F0CDC" w14:textId="77777777" w:rsidR="002C6D82" w:rsidRPr="002C6D82" w:rsidRDefault="002C6D82" w:rsidP="002C6D82">
      <w:pPr>
        <w:spacing w:after="40" w:line="276" w:lineRule="auto"/>
        <w:rPr>
          <w:rFonts w:ascii="Avenir Next" w:eastAsiaTheme="minorEastAsia" w:hAnsi="Avenir Next" w:cs="Arial"/>
          <w:sz w:val="18"/>
          <w:szCs w:val="20"/>
        </w:rPr>
      </w:pPr>
      <w:r>
        <w:rPr>
          <w:rFonts w:ascii="Avenir Next" w:hAnsi="Avenir Next"/>
          <w:b/>
          <w:sz w:val="18"/>
        </w:rPr>
        <w:t>Preço:</w:t>
      </w:r>
      <w:r>
        <w:rPr>
          <w:rFonts w:ascii="Avenir Next" w:hAnsi="Avenir Next"/>
          <w:sz w:val="18"/>
        </w:rPr>
        <w:t xml:space="preserve"> 69000</w:t>
      </w:r>
    </w:p>
    <w:p w14:paraId="7D3D413D" w14:textId="77777777" w:rsidR="002C6D82" w:rsidRPr="002C6D82" w:rsidRDefault="002C6D82" w:rsidP="002C6D82">
      <w:pPr>
        <w:spacing w:after="40" w:line="276" w:lineRule="auto"/>
        <w:rPr>
          <w:rFonts w:ascii="Avenir Next" w:eastAsiaTheme="minorEastAsia" w:hAnsi="Avenir Next" w:cs="Arial"/>
          <w:sz w:val="18"/>
          <w:szCs w:val="20"/>
        </w:rPr>
      </w:pPr>
      <w:r>
        <w:rPr>
          <w:rFonts w:ascii="Avenir Next" w:hAnsi="Avenir Next"/>
          <w:b/>
          <w:sz w:val="18"/>
        </w:rPr>
        <w:t>Material:</w:t>
      </w:r>
      <w:r>
        <w:rPr>
          <w:rFonts w:ascii="Avenir Next" w:hAnsi="Avenir Next"/>
          <w:sz w:val="18"/>
        </w:rPr>
        <w:t xml:space="preserve"> Titânio escovado</w:t>
      </w:r>
    </w:p>
    <w:p w14:paraId="31FCC1F7" w14:textId="77777777" w:rsidR="002C6D82" w:rsidRPr="002C6D82" w:rsidRDefault="002C6D82" w:rsidP="002C6D82">
      <w:pPr>
        <w:spacing w:after="40" w:line="276" w:lineRule="auto"/>
        <w:rPr>
          <w:rFonts w:ascii="Avenir Next" w:eastAsiaTheme="minorEastAsia" w:hAnsi="Avenir Next" w:cs="Arial"/>
          <w:sz w:val="18"/>
          <w:szCs w:val="20"/>
        </w:rPr>
      </w:pPr>
      <w:r>
        <w:rPr>
          <w:rFonts w:ascii="Avenir Next" w:hAnsi="Avenir Next"/>
          <w:b/>
          <w:sz w:val="18"/>
        </w:rPr>
        <w:t>Estanqueidade</w:t>
      </w:r>
      <w:r>
        <w:rPr>
          <w:rFonts w:ascii="Avenir Next" w:hAnsi="Avenir Next"/>
          <w:sz w:val="18"/>
        </w:rPr>
        <w:t>: 20 ATM</w:t>
      </w:r>
      <w:r>
        <w:rPr>
          <w:rFonts w:ascii="Times New Roman" w:hAnsi="Times New Roman"/>
        </w:rPr>
        <w:t xml:space="preserve"> </w:t>
      </w:r>
    </w:p>
    <w:p w14:paraId="48A9DD7F" w14:textId="77777777" w:rsidR="002C6D82" w:rsidRPr="002C6D82" w:rsidRDefault="002C6D82" w:rsidP="002C6D82">
      <w:pPr>
        <w:spacing w:after="40" w:line="276" w:lineRule="auto"/>
        <w:rPr>
          <w:rFonts w:ascii="Avenir Next" w:eastAsiaTheme="minorEastAsia" w:hAnsi="Avenir Next" w:cs="Arial"/>
          <w:sz w:val="18"/>
          <w:szCs w:val="20"/>
        </w:rPr>
      </w:pPr>
      <w:r>
        <w:rPr>
          <w:rFonts w:ascii="Avenir Next" w:hAnsi="Avenir Next"/>
          <w:b/>
          <w:sz w:val="18"/>
        </w:rPr>
        <w:t>Mostrador:</w:t>
      </w:r>
      <w:r>
        <w:rPr>
          <w:rFonts w:ascii="Times New Roman" w:hAnsi="Times New Roman"/>
        </w:rPr>
        <w:t xml:space="preserve"> </w:t>
      </w:r>
      <w:r>
        <w:rPr>
          <w:rFonts w:ascii="Avenir Next" w:hAnsi="Avenir Next"/>
          <w:sz w:val="18"/>
        </w:rPr>
        <w:t>Trabalhado com aberturas</w:t>
      </w:r>
    </w:p>
    <w:p w14:paraId="37A336E4" w14:textId="77777777" w:rsidR="002C6D82" w:rsidRPr="002C6D82" w:rsidRDefault="002C6D82" w:rsidP="002C6D82">
      <w:pPr>
        <w:spacing w:after="40" w:line="276" w:lineRule="auto"/>
        <w:rPr>
          <w:rFonts w:ascii="Avenir Next" w:eastAsiaTheme="minorEastAsia" w:hAnsi="Avenir Next" w:cs="Arial"/>
          <w:sz w:val="18"/>
          <w:szCs w:val="20"/>
        </w:rPr>
      </w:pPr>
      <w:r>
        <w:rPr>
          <w:rFonts w:ascii="Avenir Next" w:hAnsi="Avenir Next"/>
          <w:b/>
          <w:sz w:val="18"/>
        </w:rPr>
        <w:t>Caixa:</w:t>
      </w:r>
      <w:r>
        <w:rPr>
          <w:rFonts w:ascii="Avenir Next" w:hAnsi="Avenir Next"/>
          <w:sz w:val="18"/>
        </w:rPr>
        <w:t xml:space="preserve"> 45 mm</w:t>
      </w:r>
    </w:p>
    <w:p w14:paraId="0B7D95EF" w14:textId="77777777" w:rsidR="002C6D82" w:rsidRPr="002C6D82" w:rsidRDefault="002C6D82" w:rsidP="002C6D82">
      <w:pPr>
        <w:spacing w:after="40" w:line="276" w:lineRule="auto"/>
        <w:rPr>
          <w:rFonts w:ascii="Avenir Next" w:eastAsiaTheme="minorEastAsia" w:hAnsi="Avenir Next" w:cs="Arial"/>
          <w:sz w:val="18"/>
          <w:szCs w:val="20"/>
        </w:rPr>
      </w:pPr>
      <w:r>
        <w:rPr>
          <w:rFonts w:ascii="Avenir Next" w:hAnsi="Avenir Next"/>
          <w:b/>
          <w:sz w:val="18"/>
        </w:rPr>
        <w:t>Índices das horas:</w:t>
      </w:r>
      <w:r>
        <w:rPr>
          <w:rFonts w:ascii="Avenir Next" w:hAnsi="Avenir Next"/>
          <w:sz w:val="18"/>
        </w:rPr>
        <w:t xml:space="preserve"> Revestidos a ouro, facetados e revestidos com Super-LumiNova SLN C1 [índices das horas]</w:t>
      </w:r>
    </w:p>
    <w:p w14:paraId="6BEDA1C7" w14:textId="77777777" w:rsidR="002C6D82" w:rsidRPr="002C6D82" w:rsidRDefault="002C6D82" w:rsidP="002C6D82">
      <w:pPr>
        <w:spacing w:after="40" w:line="276" w:lineRule="auto"/>
        <w:rPr>
          <w:rFonts w:ascii="Avenir Next" w:eastAsiaTheme="minorEastAsia" w:hAnsi="Avenir Next" w:cs="Arial"/>
          <w:sz w:val="18"/>
          <w:szCs w:val="20"/>
        </w:rPr>
      </w:pPr>
      <w:r>
        <w:rPr>
          <w:rFonts w:ascii="Avenir Next" w:hAnsi="Avenir Next"/>
          <w:b/>
          <w:sz w:val="18"/>
        </w:rPr>
        <w:t>Ponteiros</w:t>
      </w:r>
      <w:r>
        <w:rPr>
          <w:rFonts w:ascii="Avenir Next" w:hAnsi="Avenir Next"/>
          <w:sz w:val="18"/>
        </w:rPr>
        <w:t>: Revestidos a ouro, facetados e revestidos com Super-LumiNova SLN C1 [Ponteiros]</w:t>
      </w:r>
    </w:p>
    <w:p w14:paraId="166432BA" w14:textId="51BC6D2A" w:rsidR="002C6D82" w:rsidRPr="00CB77D3" w:rsidRDefault="002C6D82" w:rsidP="002C6D82">
      <w:pPr>
        <w:spacing w:after="40" w:line="276" w:lineRule="auto"/>
        <w:rPr>
          <w:rFonts w:ascii="Avenir Next" w:eastAsiaTheme="minorEastAsia" w:hAnsi="Avenir Next" w:cs="Arial"/>
          <w:sz w:val="18"/>
          <w:szCs w:val="20"/>
        </w:rPr>
      </w:pPr>
      <w:r>
        <w:rPr>
          <w:rFonts w:ascii="Avenir Next" w:hAnsi="Avenir Next"/>
          <w:b/>
          <w:sz w:val="18"/>
        </w:rPr>
        <w:t>Bracelete e fivela:</w:t>
      </w:r>
      <w:r>
        <w:rPr>
          <w:rFonts w:ascii="Avenir Next" w:hAnsi="Avenir Next"/>
          <w:sz w:val="18"/>
        </w:rPr>
        <w:t xml:space="preserve"> Bracelete em titânio com fecho extensível em titânio </w:t>
      </w:r>
    </w:p>
    <w:p w14:paraId="1CFABE8C" w14:textId="77777777" w:rsidR="002C6D82" w:rsidRPr="008B1ED7" w:rsidRDefault="002C6D82" w:rsidP="002C6D82">
      <w:pPr>
        <w:rPr>
          <w:rFonts w:ascii="Times New Roman" w:eastAsia="Times New Roman" w:hAnsi="Times New Roman" w:cs="Times New Roman"/>
          <w:sz w:val="18"/>
          <w:szCs w:val="18"/>
          <w:lang w:val="it-IT" w:eastAsia="en-GB"/>
        </w:rPr>
      </w:pPr>
    </w:p>
    <w:p w14:paraId="5A6CC472" w14:textId="77777777" w:rsidR="002C6D82" w:rsidRPr="008B1ED7" w:rsidRDefault="002C6D82" w:rsidP="002C6D82">
      <w:pPr>
        <w:jc w:val="both"/>
        <w:rPr>
          <w:rFonts w:ascii="Avenir Next" w:hAnsi="Avenir Next"/>
          <w:color w:val="000000" w:themeColor="text1"/>
          <w:sz w:val="21"/>
          <w:szCs w:val="21"/>
          <w:lang w:val="it-IT"/>
        </w:rPr>
      </w:pPr>
    </w:p>
    <w:p w14:paraId="4E7F72D7" w14:textId="77777777" w:rsidR="007E78F3" w:rsidRPr="008B1ED7" w:rsidRDefault="007E78F3" w:rsidP="00C41A67">
      <w:pPr>
        <w:jc w:val="both"/>
        <w:rPr>
          <w:rFonts w:ascii="Arial" w:eastAsia="Times New Roman" w:hAnsi="Arial" w:cs="Arial"/>
          <w:color w:val="222222"/>
          <w:lang w:val="it-IT" w:eastAsia="en-GB"/>
        </w:rPr>
      </w:pPr>
    </w:p>
    <w:sectPr w:rsidR="007E78F3" w:rsidRPr="008B1ED7">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26C96" w14:textId="77777777" w:rsidR="00D3563A" w:rsidRDefault="00D3563A" w:rsidP="00A00C17">
      <w:r>
        <w:separator/>
      </w:r>
    </w:p>
  </w:endnote>
  <w:endnote w:type="continuationSeparator" w:id="0">
    <w:p w14:paraId="1A34E7CF" w14:textId="77777777" w:rsidR="00D3563A" w:rsidRDefault="00D3563A" w:rsidP="00A00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Next">
    <w:altName w:val="Calibri"/>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Avenir">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C890A" w14:textId="77777777" w:rsidR="00A00C17" w:rsidRPr="005657F5" w:rsidRDefault="00A00C17" w:rsidP="00A00C17">
    <w:pPr>
      <w:tabs>
        <w:tab w:val="center" w:pos="4513"/>
        <w:tab w:val="right" w:pos="9026"/>
      </w:tabs>
      <w:jc w:val="center"/>
      <w:rPr>
        <w:rFonts w:ascii="Avenir Next" w:hAnsi="Avenir Next"/>
        <w:sz w:val="18"/>
        <w:szCs w:val="18"/>
      </w:rPr>
    </w:pPr>
    <w:bookmarkStart w:id="0" w:name="_Hlk106810529"/>
    <w:bookmarkStart w:id="1" w:name="_Hlk106810530"/>
    <w:r>
      <w:rPr>
        <w:rFonts w:ascii="Avenir Next" w:hAnsi="Avenir Next"/>
        <w:b/>
        <w:sz w:val="18"/>
      </w:rPr>
      <w:t>ZENITH</w:t>
    </w:r>
    <w:r>
      <w:rPr>
        <w:rFonts w:ascii="Avenir Next" w:hAnsi="Avenir Next"/>
        <w:sz w:val="18"/>
      </w:rPr>
      <w:t xml:space="preserve"> | www.ZENITH-watches.com | Rue des Billodes 34-36 | CH-2400 Le Locle</w:t>
    </w:r>
  </w:p>
  <w:p w14:paraId="5ABE0548" w14:textId="03C12122" w:rsidR="00A00C17" w:rsidRPr="00A00C17" w:rsidRDefault="00A00C17" w:rsidP="00A00C17">
    <w:pPr>
      <w:tabs>
        <w:tab w:val="center" w:pos="4513"/>
        <w:tab w:val="right" w:pos="9026"/>
      </w:tabs>
      <w:jc w:val="center"/>
      <w:rPr>
        <w:rFonts w:ascii="Avenir Next" w:hAnsi="Avenir Next"/>
        <w:sz w:val="18"/>
        <w:szCs w:val="18"/>
      </w:rPr>
    </w:pPr>
    <w:r>
      <w:rPr>
        <w:rFonts w:ascii="Avenir Next" w:hAnsi="Avenir Next"/>
        <w:sz w:val="18"/>
      </w:rPr>
      <w:t xml:space="preserve">Departamento de Relações Internacionais com os Media ZENITH – E-mail: </w:t>
    </w:r>
    <w:hyperlink r:id="rId1" w:history="1">
      <w:r>
        <w:rPr>
          <w:rStyle w:val="Lienhypertexte"/>
          <w:rFonts w:ascii="Avenir Next" w:hAnsi="Avenir Next"/>
          <w:sz w:val="18"/>
        </w:rPr>
        <w:t>press@zenith-watches.com</w:t>
      </w:r>
      <w:bookmarkEnd w:id="0"/>
      <w:bookmarkEnd w:id="1"/>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DAD33" w14:textId="77777777" w:rsidR="00D3563A" w:rsidRDefault="00D3563A" w:rsidP="00A00C17">
      <w:r>
        <w:separator/>
      </w:r>
    </w:p>
  </w:footnote>
  <w:footnote w:type="continuationSeparator" w:id="0">
    <w:p w14:paraId="395FE547" w14:textId="77777777" w:rsidR="00D3563A" w:rsidRDefault="00D3563A" w:rsidP="00A00C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F36C3" w14:textId="22DE92DF" w:rsidR="00A00C17" w:rsidRDefault="00A00C17" w:rsidP="00A00C17">
    <w:pPr>
      <w:pStyle w:val="En-tte"/>
      <w:jc w:val="center"/>
    </w:pPr>
    <w:r>
      <w:rPr>
        <w:noProof/>
      </w:rPr>
      <w:drawing>
        <wp:inline distT="0" distB="0" distL="0" distR="0" wp14:anchorId="62E9F824" wp14:editId="44E17051">
          <wp:extent cx="1701165" cy="72517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4FB53F31" w14:textId="77777777" w:rsidR="00A00C17" w:rsidRDefault="00A00C17" w:rsidP="00A00C17">
    <w:pPr>
      <w:pStyle w:val="En-tt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8F3"/>
    <w:rsid w:val="000C215B"/>
    <w:rsid w:val="00143E12"/>
    <w:rsid w:val="00195BE5"/>
    <w:rsid w:val="001B156F"/>
    <w:rsid w:val="002C6D82"/>
    <w:rsid w:val="003405F1"/>
    <w:rsid w:val="003C51B2"/>
    <w:rsid w:val="004F6276"/>
    <w:rsid w:val="0062729D"/>
    <w:rsid w:val="006F0FE8"/>
    <w:rsid w:val="00743466"/>
    <w:rsid w:val="007E78F3"/>
    <w:rsid w:val="008B1ED7"/>
    <w:rsid w:val="008B72BB"/>
    <w:rsid w:val="008F1036"/>
    <w:rsid w:val="0090528A"/>
    <w:rsid w:val="0095288B"/>
    <w:rsid w:val="0098114C"/>
    <w:rsid w:val="00993F9C"/>
    <w:rsid w:val="00A00C17"/>
    <w:rsid w:val="00A1685B"/>
    <w:rsid w:val="00A315CD"/>
    <w:rsid w:val="00AF07C5"/>
    <w:rsid w:val="00BB6E87"/>
    <w:rsid w:val="00BE79CC"/>
    <w:rsid w:val="00C227E7"/>
    <w:rsid w:val="00C41A67"/>
    <w:rsid w:val="00C705DF"/>
    <w:rsid w:val="00D3563A"/>
    <w:rsid w:val="00D70BAD"/>
    <w:rsid w:val="00E812E5"/>
    <w:rsid w:val="00EA353A"/>
    <w:rsid w:val="00FB7EE2"/>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0D05B"/>
  <w15:chartTrackingRefBased/>
  <w15:docId w15:val="{C289C387-7E6C-A448-B3C8-1C3742C41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t-P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7E78F3"/>
    <w:rPr>
      <w:b/>
      <w:bCs/>
    </w:rPr>
  </w:style>
  <w:style w:type="character" w:customStyle="1" w:styleId="apple-converted-space">
    <w:name w:val="apple-converted-space"/>
    <w:basedOn w:val="Policepardfaut"/>
    <w:rsid w:val="007E78F3"/>
  </w:style>
  <w:style w:type="character" w:customStyle="1" w:styleId="il">
    <w:name w:val="il"/>
    <w:basedOn w:val="Policepardfaut"/>
    <w:rsid w:val="007E78F3"/>
  </w:style>
  <w:style w:type="character" w:styleId="Marquedecommentaire">
    <w:name w:val="annotation reference"/>
    <w:basedOn w:val="Policepardfaut"/>
    <w:uiPriority w:val="99"/>
    <w:semiHidden/>
    <w:unhideWhenUsed/>
    <w:rsid w:val="00C41A67"/>
    <w:rPr>
      <w:sz w:val="16"/>
      <w:szCs w:val="16"/>
    </w:rPr>
  </w:style>
  <w:style w:type="paragraph" w:styleId="Commentaire">
    <w:name w:val="annotation text"/>
    <w:basedOn w:val="Normal"/>
    <w:link w:val="CommentaireCar"/>
    <w:uiPriority w:val="99"/>
    <w:semiHidden/>
    <w:unhideWhenUsed/>
    <w:rsid w:val="00C41A67"/>
    <w:rPr>
      <w:sz w:val="20"/>
      <w:szCs w:val="20"/>
    </w:rPr>
  </w:style>
  <w:style w:type="character" w:customStyle="1" w:styleId="CommentaireCar">
    <w:name w:val="Commentaire Car"/>
    <w:basedOn w:val="Policepardfaut"/>
    <w:link w:val="Commentaire"/>
    <w:uiPriority w:val="99"/>
    <w:semiHidden/>
    <w:rsid w:val="00C41A67"/>
    <w:rPr>
      <w:sz w:val="20"/>
      <w:szCs w:val="20"/>
    </w:rPr>
  </w:style>
  <w:style w:type="paragraph" w:styleId="Objetducommentaire">
    <w:name w:val="annotation subject"/>
    <w:basedOn w:val="Commentaire"/>
    <w:next w:val="Commentaire"/>
    <w:link w:val="ObjetducommentaireCar"/>
    <w:uiPriority w:val="99"/>
    <w:semiHidden/>
    <w:unhideWhenUsed/>
    <w:rsid w:val="00C41A67"/>
    <w:rPr>
      <w:b/>
      <w:bCs/>
    </w:rPr>
  </w:style>
  <w:style w:type="character" w:customStyle="1" w:styleId="ObjetducommentaireCar">
    <w:name w:val="Objet du commentaire Car"/>
    <w:basedOn w:val="CommentaireCar"/>
    <w:link w:val="Objetducommentaire"/>
    <w:uiPriority w:val="99"/>
    <w:semiHidden/>
    <w:rsid w:val="00C41A67"/>
    <w:rPr>
      <w:b/>
      <w:bCs/>
      <w:sz w:val="20"/>
      <w:szCs w:val="20"/>
    </w:rPr>
  </w:style>
  <w:style w:type="paragraph" w:styleId="En-tte">
    <w:name w:val="header"/>
    <w:basedOn w:val="Normal"/>
    <w:link w:val="En-tteCar"/>
    <w:uiPriority w:val="99"/>
    <w:unhideWhenUsed/>
    <w:rsid w:val="00A00C17"/>
    <w:pPr>
      <w:tabs>
        <w:tab w:val="center" w:pos="4536"/>
        <w:tab w:val="right" w:pos="9072"/>
      </w:tabs>
    </w:pPr>
  </w:style>
  <w:style w:type="character" w:customStyle="1" w:styleId="En-tteCar">
    <w:name w:val="En-tête Car"/>
    <w:basedOn w:val="Policepardfaut"/>
    <w:link w:val="En-tte"/>
    <w:uiPriority w:val="99"/>
    <w:rsid w:val="00A00C17"/>
  </w:style>
  <w:style w:type="paragraph" w:styleId="Pieddepage">
    <w:name w:val="footer"/>
    <w:basedOn w:val="Normal"/>
    <w:link w:val="PieddepageCar"/>
    <w:uiPriority w:val="99"/>
    <w:unhideWhenUsed/>
    <w:rsid w:val="00A00C17"/>
    <w:pPr>
      <w:tabs>
        <w:tab w:val="center" w:pos="4536"/>
        <w:tab w:val="right" w:pos="9072"/>
      </w:tabs>
    </w:pPr>
  </w:style>
  <w:style w:type="character" w:customStyle="1" w:styleId="PieddepageCar">
    <w:name w:val="Pied de page Car"/>
    <w:basedOn w:val="Policepardfaut"/>
    <w:link w:val="Pieddepage"/>
    <w:uiPriority w:val="99"/>
    <w:rsid w:val="00A00C17"/>
  </w:style>
  <w:style w:type="character" w:styleId="Lienhypertexte">
    <w:name w:val="Hyperlink"/>
    <w:basedOn w:val="Policepardfaut"/>
    <w:uiPriority w:val="99"/>
    <w:unhideWhenUsed/>
    <w:rsid w:val="00A00C1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469731">
      <w:bodyDiv w:val="1"/>
      <w:marLeft w:val="0"/>
      <w:marRight w:val="0"/>
      <w:marTop w:val="0"/>
      <w:marBottom w:val="0"/>
      <w:divBdr>
        <w:top w:val="none" w:sz="0" w:space="0" w:color="auto"/>
        <w:left w:val="none" w:sz="0" w:space="0" w:color="auto"/>
        <w:bottom w:val="none" w:sz="0" w:space="0" w:color="auto"/>
        <w:right w:val="none" w:sz="0" w:space="0" w:color="auto"/>
      </w:divBdr>
      <w:divsChild>
        <w:div w:id="2112361345">
          <w:marLeft w:val="0"/>
          <w:marRight w:val="0"/>
          <w:marTop w:val="0"/>
          <w:marBottom w:val="0"/>
          <w:divBdr>
            <w:top w:val="none" w:sz="0" w:space="0" w:color="auto"/>
            <w:left w:val="none" w:sz="0" w:space="0" w:color="auto"/>
            <w:bottom w:val="none" w:sz="0" w:space="0" w:color="auto"/>
            <w:right w:val="none" w:sz="0" w:space="0" w:color="auto"/>
          </w:divBdr>
        </w:div>
        <w:div w:id="1279483811">
          <w:marLeft w:val="0"/>
          <w:marRight w:val="0"/>
          <w:marTop w:val="0"/>
          <w:marBottom w:val="0"/>
          <w:divBdr>
            <w:top w:val="none" w:sz="0" w:space="0" w:color="auto"/>
            <w:left w:val="none" w:sz="0" w:space="0" w:color="auto"/>
            <w:bottom w:val="none" w:sz="0" w:space="0" w:color="auto"/>
            <w:right w:val="none" w:sz="0" w:space="0" w:color="auto"/>
          </w:divBdr>
        </w:div>
      </w:divsChild>
    </w:div>
    <w:div w:id="446311977">
      <w:bodyDiv w:val="1"/>
      <w:marLeft w:val="0"/>
      <w:marRight w:val="0"/>
      <w:marTop w:val="0"/>
      <w:marBottom w:val="0"/>
      <w:divBdr>
        <w:top w:val="none" w:sz="0" w:space="0" w:color="auto"/>
        <w:left w:val="none" w:sz="0" w:space="0" w:color="auto"/>
        <w:bottom w:val="none" w:sz="0" w:space="0" w:color="auto"/>
        <w:right w:val="none" w:sz="0" w:space="0" w:color="auto"/>
      </w:divBdr>
    </w:div>
    <w:div w:id="1792894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file:///C:\Users\renee-claude.noussi\AppData\Local\Microsoft\Windows\INetCache\Content.Outlook\OMNXTTHT\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1153</Words>
  <Characters>6342</Characters>
  <Application>Microsoft Office Word</Application>
  <DocSecurity>4</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Renée-Claude Noussi Perrain</cp:lastModifiedBy>
  <cp:revision>2</cp:revision>
  <dcterms:created xsi:type="dcterms:W3CDTF">2022-12-06T09:22:00Z</dcterms:created>
  <dcterms:modified xsi:type="dcterms:W3CDTF">2022-12-06T09:22:00Z</dcterms:modified>
</cp:coreProperties>
</file>