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84DA" w14:textId="28538AF4" w:rsidR="0000704D" w:rsidRPr="008C31AA" w:rsidRDefault="0000704D" w:rsidP="0039128E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>ALTA FREQUENZA A COLORI: ZENITH RIVELA IL COFANETTO “ULTRA COLOUR” CON 8 MODELLI DEFY 21 DALLE TONALITÀ DECISE</w:t>
      </w:r>
    </w:p>
    <w:p w14:paraId="49881790" w14:textId="77777777" w:rsidR="0000704D" w:rsidRPr="00DE3EFF" w:rsidRDefault="0000704D" w:rsidP="008C31AA">
      <w:pPr>
        <w:jc w:val="both"/>
        <w:rPr>
          <w:rFonts w:ascii="Avenir Next" w:hAnsi="Avenir Next"/>
          <w:sz w:val="20"/>
          <w:szCs w:val="20"/>
        </w:rPr>
      </w:pPr>
    </w:p>
    <w:p w14:paraId="2BF70949" w14:textId="1B9E0781" w:rsidR="00143E12" w:rsidRPr="008C31AA" w:rsidRDefault="0060614A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Dai quadranti vivacemente colorati degli anni ‘70 agli innovativi movimenti dai toni accesi delle creazioni più recenti, ZENITH ha sempre esplorato l’universo cromatico con un approccio audace e all’avanguardia.</w:t>
      </w:r>
    </w:p>
    <w:p w14:paraId="04593C4B" w14:textId="6E6ABC6B" w:rsidR="005A099C" w:rsidRPr="00DE3EFF" w:rsidRDefault="005A099C" w:rsidP="008C31AA">
      <w:pPr>
        <w:jc w:val="both"/>
        <w:rPr>
          <w:rFonts w:ascii="Avenir Next" w:hAnsi="Avenir Next"/>
          <w:sz w:val="20"/>
          <w:szCs w:val="20"/>
        </w:rPr>
      </w:pPr>
    </w:p>
    <w:p w14:paraId="1CD0F030" w14:textId="25904982" w:rsidR="00747814" w:rsidRPr="008C31AA" w:rsidRDefault="00747814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Con DEFY 21, il primo modello ad ospitare il rivoluzionario movimento cronografico di manifattura El Primero con precisione al 1/100 di secondo, ZENITH voleva esprimere la precisione ad alta frequenza attraverso luce e colore. Quest’idea è nata nel 2020 con DEFY 21 Ultraviolet, che ha stabilito un nuovo codice di design per l’omonimo concept, di cui la piena espressione è rappresentata dal cofanetto </w:t>
      </w:r>
      <w:r>
        <w:rPr>
          <w:rFonts w:ascii="Avenir Next" w:hAnsi="Avenir Next"/>
          <w:b/>
          <w:sz w:val="20"/>
        </w:rPr>
        <w:t>Ultra Colour</w:t>
      </w:r>
      <w:r>
        <w:rPr>
          <w:rFonts w:ascii="Avenir Next" w:hAnsi="Avenir Next"/>
          <w:sz w:val="20"/>
        </w:rPr>
        <w:t>.</w:t>
      </w:r>
    </w:p>
    <w:p w14:paraId="169B2434" w14:textId="351B903A" w:rsidR="00747814" w:rsidRPr="00DE3EFF" w:rsidRDefault="00747814" w:rsidP="008C31AA">
      <w:pPr>
        <w:jc w:val="both"/>
        <w:rPr>
          <w:rFonts w:ascii="Avenir Next" w:hAnsi="Avenir Next"/>
          <w:sz w:val="20"/>
          <w:szCs w:val="20"/>
        </w:rPr>
      </w:pPr>
    </w:p>
    <w:p w14:paraId="5ADF7210" w14:textId="77777777" w:rsidR="00F92EA9" w:rsidRPr="008C31AA" w:rsidRDefault="00F92EA9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Otto varianti di DEFY 21 limitate a soli otto cofanetti, i modelli Ultra Colour sono tutti interamente realizzati in titanio leggero con finitura opaca, per far risaltare i colori all’interno. Il quadrante aperto presenta contatori cronografici in rilievo abbinati alla cassa grigia, sotto la quale risaltano le vivaci sfumature metallizzate, applicate alla parte più inaspettata dell’orologio: il movimento. </w:t>
      </w:r>
    </w:p>
    <w:p w14:paraId="10FAA4F9" w14:textId="77777777" w:rsidR="00F92EA9" w:rsidRPr="00DE3EFF" w:rsidRDefault="00F92EA9" w:rsidP="008C31AA">
      <w:pPr>
        <w:jc w:val="both"/>
        <w:rPr>
          <w:rFonts w:ascii="Avenir Next" w:hAnsi="Avenir Next"/>
          <w:sz w:val="20"/>
          <w:szCs w:val="20"/>
        </w:rPr>
      </w:pPr>
    </w:p>
    <w:p w14:paraId="36746DD5" w14:textId="0CD81FB1" w:rsidR="00F92EA9" w:rsidRPr="008C31AA" w:rsidRDefault="00F92EA9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I ponti e la massa oscillante degli otto esemplari Ultra Colour presentano una finitura monocromatica in otto diverse tonalità: nero, blu, viola, arancione, rosa, verde, turchese e kaki. I toni metallizzati sono cangianti a seconda della luce, e aumentano così il senso di volume e dinamismo di questa serie straordinariamente accattivante. I cinturini in caucciù effetto “Cordura” sono abbinati al colore del movimento.</w:t>
      </w:r>
    </w:p>
    <w:p w14:paraId="24A807FD" w14:textId="77777777" w:rsidR="00F92EA9" w:rsidRPr="002A7F0F" w:rsidRDefault="00F92EA9" w:rsidP="008C31AA">
      <w:pPr>
        <w:jc w:val="both"/>
        <w:rPr>
          <w:rFonts w:ascii="Avenir Next" w:hAnsi="Avenir Next"/>
          <w:sz w:val="20"/>
          <w:szCs w:val="20"/>
        </w:rPr>
      </w:pPr>
    </w:p>
    <w:p w14:paraId="58C88C4C" w14:textId="4E5788DD" w:rsidR="00747814" w:rsidRPr="008C31AA" w:rsidRDefault="00F92EA9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Attraverso il fondello in vetro zaffiro è possibile ammirare il singolare cronografo automatico ad alta frequenza El Primero 21 con precisione al 1/100 di secondo: il meglio delle prestazioni e della precisione, dotato di due organi regolatori e treni degli ingranaggi indipendenti per il cronometraggio e il cronografo, che operano rispettivamente ad una frequenza di 5 Hz (36.000 A/ora) e 50 Hz (360.000 A/ora).</w:t>
      </w:r>
    </w:p>
    <w:p w14:paraId="20BB1C4C" w14:textId="60BB16D8" w:rsidR="00747814" w:rsidRPr="002A7F0F" w:rsidRDefault="00747814" w:rsidP="008C31AA">
      <w:pPr>
        <w:jc w:val="both"/>
        <w:rPr>
          <w:rFonts w:ascii="Avenir Next" w:hAnsi="Avenir Next"/>
          <w:sz w:val="20"/>
          <w:szCs w:val="20"/>
        </w:rPr>
      </w:pPr>
    </w:p>
    <w:p w14:paraId="04683FC1" w14:textId="4BF61216" w:rsidR="00F92EA9" w:rsidRPr="008C31AA" w:rsidRDefault="00EB731D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Il cofanetto è spettacolare quanto gli otto orologi, di cui riprende l’ampio spettro cromatico</w:t>
      </w:r>
      <w:r w:rsidRPr="002A7F0F">
        <w:rPr>
          <w:rFonts w:ascii="Avenir Next" w:hAnsi="Avenir Next"/>
          <w:sz w:val="20"/>
        </w:rPr>
        <w:t>. Luminoso e trasparente, con un fascino quasi cristallino, il set Ultra Colour è disponibile in una confezione in acrilico trasparente che riflette sfumature diverse a seconda della luce. Ciascun orologio presenta inciso sul fondello un numero in edizione limitata da uno a otto, e ciascun cofanetto conterrà orologi con numerazione crescente, anziché con lo stesso numero.</w:t>
      </w:r>
    </w:p>
    <w:p w14:paraId="44C62703" w14:textId="77777777" w:rsidR="00747814" w:rsidRPr="002A7F0F" w:rsidRDefault="00747814" w:rsidP="008C31AA">
      <w:pPr>
        <w:jc w:val="both"/>
        <w:rPr>
          <w:rFonts w:ascii="Avenir Next" w:hAnsi="Avenir Next"/>
          <w:sz w:val="20"/>
          <w:szCs w:val="20"/>
        </w:rPr>
      </w:pPr>
    </w:p>
    <w:p w14:paraId="59C4F33A" w14:textId="73B3D714" w:rsidR="00AB7FD7" w:rsidRPr="008C31AA" w:rsidRDefault="00EB731D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Il cofanetto DEFY 21 Ultra Colour è disponibile in edizione limitata di soli otto esemplari e in esclusiva nelle boutique ZENITH fisiche di tutto il mondo e online.</w:t>
      </w:r>
    </w:p>
    <w:p w14:paraId="6C06F41D" w14:textId="61CFF505" w:rsidR="00AB7FD7" w:rsidRPr="002A7F0F" w:rsidRDefault="00AB7FD7" w:rsidP="008C31AA">
      <w:pPr>
        <w:jc w:val="both"/>
        <w:rPr>
          <w:rFonts w:ascii="Avenir Next" w:hAnsi="Avenir Next"/>
          <w:sz w:val="20"/>
          <w:szCs w:val="20"/>
        </w:rPr>
      </w:pPr>
    </w:p>
    <w:p w14:paraId="01F79DA8" w14:textId="0704D2E9" w:rsidR="008C31AA" w:rsidRDefault="008C31AA">
      <w:pPr>
        <w:rPr>
          <w:rFonts w:ascii="Avenir Next" w:hAnsi="Avenir Next"/>
          <w:sz w:val="20"/>
          <w:szCs w:val="20"/>
        </w:rPr>
      </w:pPr>
      <w:r>
        <w:br w:type="page"/>
      </w:r>
    </w:p>
    <w:p w14:paraId="49FB7D95" w14:textId="77777777" w:rsidR="008C31AA" w:rsidRDefault="008C31AA" w:rsidP="008C31AA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lastRenderedPageBreak/>
        <w:t>ZENITH: È TEMPO DI PUNTARE ALLE STELLE.</w:t>
      </w:r>
    </w:p>
    <w:p w14:paraId="500DA820" w14:textId="77777777" w:rsidR="008C31AA" w:rsidRPr="002A7F0F" w:rsidRDefault="008C31AA" w:rsidP="008C31AA">
      <w:pPr>
        <w:rPr>
          <w:rFonts w:ascii="Avenir Next" w:hAnsi="Avenir Next"/>
          <w:b/>
          <w:bCs/>
          <w:sz w:val="19"/>
          <w:szCs w:val="19"/>
          <w:lang w:val="da-DK"/>
        </w:rPr>
      </w:pPr>
    </w:p>
    <w:p w14:paraId="36F7BC27" w14:textId="77777777" w:rsidR="008C31AA" w:rsidRPr="00F36DF6" w:rsidRDefault="008C31AA" w:rsidP="008C31AA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>ZENITH nasce per ispirare ogni individuo a seguire i propri sogni e renderli realtà. Sin dalla fondazione, nel 1865, ZENITH si è affermata come la prima manifattura orologiera svizzera dotata di un sistema d’integrazione verticale, e i suoi orologi hanno sempre accompagnato figure straordinarie con grandi sogni, che miravano all’impossibile: da Louis Blériot, con la traversata aerea del Canale della Manica, fino a Felix Baumgartner, con il record mondiale di salto dalla stratosfera. Zenith punta inoltre i riflettori su grandi donne, visionarie e rivoluzionarie, a cui la piattaforma DREAMHERS dona uno spazio di condivisione, ispirando altre donne a lottare per i propri sogni.</w:t>
      </w:r>
    </w:p>
    <w:p w14:paraId="58F9E68E" w14:textId="77777777" w:rsidR="008C31AA" w:rsidRPr="00DE3EFF" w:rsidRDefault="008C31AA" w:rsidP="008C31AA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60EACE2" w14:textId="76886783" w:rsidR="0039128E" w:rsidRPr="00DE3EFF" w:rsidRDefault="008C31AA" w:rsidP="008C31AA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en-US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 xml:space="preserve">Guidata come sempre dall’innovazione, ZENITH presenta eccezionali movimenti sviluppati e realizzati all’interno della manifattura, che alimentano tutti i suoi orologi. Fin dalla creazione di El Primero nel 1969, il primo calibro cronografico automatico al mondo, ZENITH ha dimostrato di saper padroneggiare la precisione ad alta frequenza e di offrire una misurazione del tempo in frazioni di secondo, tra cui il 1/10 di secondo con le ultime linee Chronomaster, e addirittura il 1/100 di secondo con la collezione DEFY. E poiché innovazione è sinonimo di responsabilità, l’iniziativa ZENITH HORIZ-ON afferma l’impegno del brand per l’inclusione, la diversità, la sostenibilità e il benessere dei lavoratori. ZENITH ha saputo dare forma al futuro dell’orologeria svizzera fin dal 1865, sostenendo tutti coloro che hanno osato – e osano tuttora – sfidare sé stessi e raggiungere le vette più alte. </w:t>
      </w:r>
      <w:r w:rsidRPr="00DE3EFF">
        <w:rPr>
          <w:rFonts w:ascii="Avenir Next" w:hAnsi="Avenir Next"/>
          <w:color w:val="222222"/>
          <w:sz w:val="20"/>
          <w:shd w:val="clear" w:color="auto" w:fill="FFFFFF"/>
          <w:lang w:val="en-US"/>
        </w:rPr>
        <w:t>È tempo di puntare alle stelle!</w:t>
      </w:r>
    </w:p>
    <w:p w14:paraId="69F809F1" w14:textId="77777777" w:rsidR="0039128E" w:rsidRPr="00DE3EFF" w:rsidRDefault="0039128E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en-US"/>
        </w:rPr>
      </w:pPr>
      <w:r w:rsidRPr="00DE3EFF">
        <w:rPr>
          <w:lang w:val="en-US"/>
        </w:rPr>
        <w:br w:type="page"/>
      </w:r>
    </w:p>
    <w:p w14:paraId="61AA8459" w14:textId="77777777" w:rsidR="00DE3EFF" w:rsidRDefault="00DE3EFF" w:rsidP="00DE3EFF">
      <w:pPr>
        <w:jc w:val="both"/>
        <w:rPr>
          <w:rFonts w:ascii="Avenir Next" w:hAnsi="Avenir Next" w:cstheme="majorHAnsi"/>
          <w:b/>
          <w:szCs w:val="20"/>
          <w:lang w:val="en-US"/>
        </w:rPr>
      </w:pPr>
      <w:r>
        <w:rPr>
          <w:rFonts w:ascii="Avenir Next" w:hAnsi="Avenir Next" w:cstheme="majorHAnsi"/>
          <w:b/>
          <w:szCs w:val="20"/>
          <w:lang w:val="en-US"/>
        </w:rPr>
        <w:lastRenderedPageBreak/>
        <w:t>DEFY 21 ULTRACOLOR BOX SET</w:t>
      </w:r>
    </w:p>
    <w:p w14:paraId="65A42A3D" w14:textId="77777777" w:rsidR="00DE3EFF" w:rsidRDefault="00DE3EFF" w:rsidP="00DE3EFF">
      <w:pPr>
        <w:jc w:val="both"/>
        <w:rPr>
          <w:rFonts w:ascii="Avenir Next" w:hAnsi="Avenir Next" w:cs="Arial"/>
          <w:sz w:val="16"/>
          <w:szCs w:val="36"/>
          <w:lang w:val="en-US"/>
        </w:rPr>
      </w:pPr>
    </w:p>
    <w:p w14:paraId="65F5532E" w14:textId="77777777" w:rsidR="00DE3EFF" w:rsidRDefault="00DE3EFF" w:rsidP="00DE3EF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bookmarkStart w:id="0" w:name="_Hlk29295538"/>
      <w:r>
        <w:rPr>
          <w:rFonts w:ascii="Avenir Next" w:hAnsi="Avenir Next" w:cs="OpenSans-CondensedLight"/>
          <w:b/>
          <w:sz w:val="18"/>
          <w:szCs w:val="18"/>
          <w:lang w:val="en-US"/>
        </w:rPr>
        <w:t>Key points: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1/100th of a second Chronograph movement. Exclusive dynamic signature of one rotation per second. 1 escapement for the Watch (36,000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VpH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- 5 Hz); 1 escapement for the Chronograph (360,000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VpH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- 50 Hz). Chronometer certified. </w:t>
      </w:r>
    </w:p>
    <w:p w14:paraId="0F84F091" w14:textId="77777777" w:rsidR="00DE3EFF" w:rsidRDefault="00DE3EFF" w:rsidP="00DE3EF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Movement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: El Primero 9004 automatic </w:t>
      </w:r>
    </w:p>
    <w:p w14:paraId="7A0DB0E1" w14:textId="77777777" w:rsidR="00DE3EFF" w:rsidRDefault="00DE3EFF" w:rsidP="00DE3EF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Frequency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36,000 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VpH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(5 Hz)</w:t>
      </w:r>
      <w:r>
        <w:rPr>
          <w:lang w:val="en-US"/>
        </w:rPr>
        <w:t xml:space="preserve"> </w:t>
      </w:r>
    </w:p>
    <w:p w14:paraId="7A47AF81" w14:textId="77777777" w:rsidR="00DE3EFF" w:rsidRDefault="00DE3EFF" w:rsidP="00DE3EF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Power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</w:t>
      </w:r>
      <w:r>
        <w:rPr>
          <w:rFonts w:ascii="Avenir Next" w:hAnsi="Avenir Next" w:cs="OpenSans-CondensedLight"/>
          <w:b/>
          <w:bCs/>
          <w:sz w:val="18"/>
          <w:szCs w:val="18"/>
          <w:lang w:val="en-US"/>
        </w:rPr>
        <w:t>reserve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min. 50 hours</w:t>
      </w:r>
    </w:p>
    <w:p w14:paraId="2B24ED2A" w14:textId="77777777" w:rsidR="00DE3EFF" w:rsidRDefault="00DE3EFF" w:rsidP="00DE3EF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proofErr w:type="gramStart"/>
      <w:r>
        <w:rPr>
          <w:rFonts w:ascii="Avenir Next" w:hAnsi="Avenir Next" w:cs="OpenSans-CondensedLight"/>
          <w:b/>
          <w:sz w:val="18"/>
          <w:szCs w:val="18"/>
          <w:lang w:val="en-US"/>
        </w:rPr>
        <w:t>Functions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:</w:t>
      </w:r>
      <w:proofErr w:type="gramEnd"/>
      <w:r>
        <w:rPr>
          <w:rFonts w:ascii="Avenir Next" w:hAnsi="Avenir Next" w:cs="OpenSans-CondensedLight"/>
          <w:sz w:val="18"/>
          <w:szCs w:val="18"/>
          <w:lang w:val="en-US"/>
        </w:rPr>
        <w:t xml:space="preserve"> 1/100th of a second chronograph functions. Chronograph power-reserve indication at 12 o'clock. Hours and minutes in the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centre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>. Small seconds at 9 o'clock, Central chronograph hand, 30-minute counter at 3 o'clock, 60-second counter at 6 o'clock</w:t>
      </w:r>
    </w:p>
    <w:p w14:paraId="42AB1D21" w14:textId="77777777" w:rsidR="00DE3EFF" w:rsidRDefault="00DE3EFF" w:rsidP="00DE3EF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bCs/>
          <w:sz w:val="18"/>
          <w:szCs w:val="18"/>
          <w:lang w:val="en-US"/>
        </w:rPr>
        <w:t>Finishes: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Colored main plate on movement and colored oscillating weight with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satined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finishings. Bracelet and movement matching color.  </w:t>
      </w:r>
    </w:p>
    <w:p w14:paraId="39894FA8" w14:textId="77777777" w:rsidR="00DE3EFF" w:rsidRDefault="00DE3EFF" w:rsidP="00DE3EF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Material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: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Microblasted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titanium</w:t>
      </w:r>
    </w:p>
    <w:p w14:paraId="63C1C39C" w14:textId="77777777" w:rsidR="00DE3EFF" w:rsidRDefault="00DE3EFF" w:rsidP="00DE3EF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Water resistance</w:t>
      </w:r>
      <w:r>
        <w:rPr>
          <w:rFonts w:ascii="Avenir Next" w:hAnsi="Avenir Next" w:cs="OpenSans-CondensedLight"/>
          <w:sz w:val="18"/>
          <w:szCs w:val="18"/>
          <w:lang w:val="en-US"/>
        </w:rPr>
        <w:t>: 10 ATM</w:t>
      </w:r>
    </w:p>
    <w:p w14:paraId="1B7A20E0" w14:textId="77777777" w:rsidR="00DE3EFF" w:rsidRDefault="00DE3EFF" w:rsidP="00DE3EF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Dial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: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Openworked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with grey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subdials</w:t>
      </w:r>
      <w:proofErr w:type="spellEnd"/>
    </w:p>
    <w:p w14:paraId="374BE5C0" w14:textId="77777777" w:rsidR="00DE3EFF" w:rsidRDefault="00DE3EFF" w:rsidP="00DE3EF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Hour markers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: Rhodium-plated, faceted and coated with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Superluminova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SLN C1</w:t>
      </w:r>
    </w:p>
    <w:p w14:paraId="75B9CF50" w14:textId="77777777" w:rsidR="00DE3EFF" w:rsidRDefault="00DE3EFF" w:rsidP="00DE3EFF">
      <w:pPr>
        <w:autoSpaceDE w:val="0"/>
        <w:autoSpaceDN w:val="0"/>
        <w:adjustRightInd w:val="0"/>
        <w:spacing w:line="276" w:lineRule="auto"/>
        <w:rPr>
          <w:rFonts w:ascii="OpenSans-CondensedLight" w:hAnsi="OpenSans-CondensedLight" w:cs="OpenSans-CondensedLight"/>
          <w:sz w:val="20"/>
          <w:szCs w:val="20"/>
          <w:lang w:val="en-US"/>
        </w:rPr>
      </w:pPr>
      <w:proofErr w:type="gramStart"/>
      <w:r>
        <w:rPr>
          <w:rFonts w:ascii="Avenir Next" w:hAnsi="Avenir Next" w:cs="OpenSans-CondensedLight"/>
          <w:b/>
          <w:sz w:val="18"/>
          <w:szCs w:val="18"/>
          <w:lang w:val="en-US"/>
        </w:rPr>
        <w:t>Hands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:</w:t>
      </w:r>
      <w:proofErr w:type="gramEnd"/>
      <w:r>
        <w:rPr>
          <w:rFonts w:ascii="Avenir Next" w:hAnsi="Avenir Next" w:cs="OpenSans-CondensedLight"/>
          <w:sz w:val="18"/>
          <w:szCs w:val="18"/>
          <w:lang w:val="en-US"/>
        </w:rPr>
        <w:t xml:space="preserve"> Rhodium-plated, faceted and coated with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Superluminova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SLN C1</w:t>
      </w:r>
    </w:p>
    <w:p w14:paraId="745324B9" w14:textId="77777777" w:rsidR="00DE3EFF" w:rsidRDefault="00DE3EFF" w:rsidP="00DE3EFF">
      <w:pPr>
        <w:jc w:val="both"/>
        <w:rPr>
          <w:rFonts w:ascii="Avenir Next" w:eastAsia="Times New Roman" w:hAnsi="Avenir Next" w:cs="Arial"/>
          <w:sz w:val="18"/>
          <w:szCs w:val="18"/>
          <w:lang w:val="en-US" w:eastAsia="en-GB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Bracelet &amp; Buckle: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</w:t>
      </w:r>
      <w:bookmarkEnd w:id="0"/>
      <w:r>
        <w:rPr>
          <w:rFonts w:ascii="Avenir Next" w:eastAsia="Times New Roman" w:hAnsi="Avenir Next" w:cs="Arial"/>
          <w:sz w:val="18"/>
          <w:szCs w:val="18"/>
          <w:lang w:val="en-US" w:eastAsia="en-GB"/>
        </w:rPr>
        <w:t xml:space="preserve">Different colored straps matching the finishings. </w:t>
      </w:r>
      <w:proofErr w:type="spellStart"/>
      <w:r>
        <w:rPr>
          <w:rFonts w:ascii="Avenir Next" w:eastAsia="Times New Roman" w:hAnsi="Avenir Next" w:cs="Arial"/>
          <w:sz w:val="18"/>
          <w:szCs w:val="18"/>
          <w:lang w:val="en-US" w:eastAsia="en-GB"/>
        </w:rPr>
        <w:t>Microblasted</w:t>
      </w:r>
      <w:proofErr w:type="spellEnd"/>
      <w:r>
        <w:rPr>
          <w:rFonts w:ascii="Avenir Next" w:eastAsia="Times New Roman" w:hAnsi="Avenir Next" w:cs="Arial"/>
          <w:sz w:val="18"/>
          <w:szCs w:val="18"/>
          <w:lang w:val="en-US" w:eastAsia="en-GB"/>
        </w:rPr>
        <w:t xml:space="preserve"> titanium double folding clasp.</w:t>
      </w:r>
    </w:p>
    <w:p w14:paraId="34B4C65E" w14:textId="77777777" w:rsidR="00DE3EFF" w:rsidRDefault="00DE3EFF" w:rsidP="00DE3EF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 xml:space="preserve">Price: </w:t>
      </w:r>
      <w:r>
        <w:rPr>
          <w:rFonts w:ascii="Avenir Next" w:hAnsi="Avenir Next" w:cs="OpenSans-CondensedLight"/>
          <w:bCs/>
          <w:sz w:val="18"/>
          <w:szCs w:val="18"/>
          <w:lang w:val="en-US"/>
        </w:rPr>
        <w:t>Defy 21Ultracolor box set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118’000 CHF</w:t>
      </w:r>
    </w:p>
    <w:p w14:paraId="162AD30D" w14:textId="77777777" w:rsidR="00DE3EFF" w:rsidRDefault="00DE3EFF" w:rsidP="00DE3EFF">
      <w:pPr>
        <w:jc w:val="both"/>
        <w:rPr>
          <w:rFonts w:ascii="Avenir Next" w:eastAsia="Times New Roman" w:hAnsi="Avenir Next" w:cs="Arial"/>
          <w:b/>
          <w:bCs/>
          <w:sz w:val="18"/>
          <w:szCs w:val="18"/>
          <w:lang w:val="fr-CH" w:eastAsia="en-GB"/>
        </w:rPr>
      </w:pPr>
      <w:proofErr w:type="spellStart"/>
      <w:proofErr w:type="gramStart"/>
      <w:r>
        <w:rPr>
          <w:rFonts w:ascii="Avenir Next" w:eastAsia="Times New Roman" w:hAnsi="Avenir Next" w:cs="Arial"/>
          <w:b/>
          <w:bCs/>
          <w:sz w:val="18"/>
          <w:szCs w:val="18"/>
          <w:lang w:val="fr-CH" w:eastAsia="en-GB"/>
        </w:rPr>
        <w:t>References</w:t>
      </w:r>
      <w:proofErr w:type="spellEnd"/>
      <w:r>
        <w:rPr>
          <w:rFonts w:ascii="Avenir Next" w:eastAsia="Times New Roman" w:hAnsi="Avenir Next" w:cs="Arial"/>
          <w:b/>
          <w:bCs/>
          <w:sz w:val="18"/>
          <w:szCs w:val="18"/>
          <w:lang w:val="fr-CH" w:eastAsia="en-GB"/>
        </w:rPr>
        <w:t>:</w:t>
      </w:r>
      <w:proofErr w:type="gramEnd"/>
      <w:r>
        <w:rPr>
          <w:rFonts w:ascii="Avenir Next" w:eastAsia="Times New Roman" w:hAnsi="Avenir Next" w:cs="Arial"/>
          <w:b/>
          <w:bCs/>
          <w:sz w:val="18"/>
          <w:szCs w:val="18"/>
          <w:lang w:val="fr-CH" w:eastAsia="en-GB"/>
        </w:rPr>
        <w:t xml:space="preserve"> </w:t>
      </w:r>
      <w:r>
        <w:rPr>
          <w:rFonts w:ascii="Avenir Next" w:hAnsi="Avenir Next" w:cs="OpenSans-CondensedLight"/>
          <w:sz w:val="18"/>
          <w:szCs w:val="18"/>
          <w:lang w:val="fr-CH"/>
        </w:rPr>
        <w:t>97.9001.9004/80.R944.T3/P</w:t>
      </w:r>
      <w:r>
        <w:rPr>
          <w:rFonts w:ascii="Avenir Next" w:eastAsia="Times New Roman" w:hAnsi="Avenir Next" w:cs="Arial"/>
          <w:b/>
          <w:bCs/>
          <w:sz w:val="18"/>
          <w:szCs w:val="18"/>
          <w:lang w:val="fr-CH" w:eastAsia="en-GB"/>
        </w:rPr>
        <w:t xml:space="preserve">, </w:t>
      </w:r>
      <w:r>
        <w:rPr>
          <w:rFonts w:ascii="Avenir Next" w:hAnsi="Avenir Next" w:cs="OpenSans-CondensedLight"/>
          <w:sz w:val="18"/>
          <w:szCs w:val="18"/>
          <w:lang w:val="fr-CH"/>
        </w:rPr>
        <w:t>97.9001.9004/80.R922.T3/P</w:t>
      </w:r>
      <w:r>
        <w:rPr>
          <w:rFonts w:ascii="Avenir Next" w:eastAsia="Times New Roman" w:hAnsi="Avenir Next" w:cs="Arial"/>
          <w:b/>
          <w:bCs/>
          <w:sz w:val="18"/>
          <w:szCs w:val="18"/>
          <w:lang w:val="fr-CH" w:eastAsia="en-GB"/>
        </w:rPr>
        <w:t xml:space="preserve">, </w:t>
      </w:r>
      <w:r>
        <w:rPr>
          <w:rFonts w:ascii="Avenir Next" w:hAnsi="Avenir Next" w:cs="OpenSans-CondensedLight"/>
          <w:sz w:val="18"/>
          <w:szCs w:val="18"/>
          <w:lang w:val="fr-CH"/>
        </w:rPr>
        <w:t>97.9001.9004/80.R948.T3/P</w:t>
      </w:r>
    </w:p>
    <w:p w14:paraId="03EF5778" w14:textId="77777777" w:rsidR="00DE3EFF" w:rsidRDefault="00DE3EFF" w:rsidP="00DE3EFF">
      <w:pPr>
        <w:jc w:val="both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sz w:val="18"/>
          <w:szCs w:val="18"/>
          <w:lang w:val="en-US"/>
        </w:rPr>
        <w:t>97.9001.9004/</w:t>
      </w:r>
      <w:proofErr w:type="gramStart"/>
      <w:r>
        <w:rPr>
          <w:rFonts w:ascii="Avenir Next" w:hAnsi="Avenir Next" w:cs="OpenSans-CondensedLight"/>
          <w:sz w:val="18"/>
          <w:szCs w:val="18"/>
          <w:lang w:val="en-US"/>
        </w:rPr>
        <w:t>80.R919.T</w:t>
      </w:r>
      <w:proofErr w:type="gramEnd"/>
      <w:r>
        <w:rPr>
          <w:rFonts w:ascii="Avenir Next" w:hAnsi="Avenir Next" w:cs="OpenSans-CondensedLight"/>
          <w:sz w:val="18"/>
          <w:szCs w:val="18"/>
          <w:lang w:val="en-US"/>
        </w:rPr>
        <w:t>3/P, 97.9001.9004/80.R943.T3/P, 97.9001.9004/80.R945.T3/P</w:t>
      </w:r>
    </w:p>
    <w:p w14:paraId="0FFB3D7C" w14:textId="77777777" w:rsidR="00DE3EFF" w:rsidRDefault="00DE3EFF" w:rsidP="00DE3EFF">
      <w:pPr>
        <w:jc w:val="both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sz w:val="18"/>
          <w:szCs w:val="18"/>
          <w:lang w:val="en-US"/>
        </w:rPr>
        <w:t>97.9001.9004-8/</w:t>
      </w:r>
      <w:proofErr w:type="gramStart"/>
      <w:r>
        <w:rPr>
          <w:rFonts w:ascii="Avenir Next" w:hAnsi="Avenir Next" w:cs="OpenSans-CondensedLight"/>
          <w:sz w:val="18"/>
          <w:szCs w:val="18"/>
          <w:lang w:val="en-US"/>
        </w:rPr>
        <w:t>80.R955.T</w:t>
      </w:r>
      <w:proofErr w:type="gramEnd"/>
      <w:r>
        <w:rPr>
          <w:rFonts w:ascii="Avenir Next" w:hAnsi="Avenir Next" w:cs="OpenSans-CondensedLight"/>
          <w:sz w:val="18"/>
          <w:szCs w:val="18"/>
          <w:lang w:val="en-US"/>
        </w:rPr>
        <w:t xml:space="preserve">3/P, </w:t>
      </w:r>
      <w:r>
        <w:rPr>
          <w:rFonts w:ascii="Avenir Next" w:hAnsi="Avenir Next" w:cs="OpenSans-CondensedLight"/>
          <w:sz w:val="18"/>
          <w:szCs w:val="18"/>
        </w:rPr>
        <w:t>97.9001.9004-6/80.R946.T3/P</w:t>
      </w:r>
    </w:p>
    <w:p w14:paraId="5F1BD65C" w14:textId="56016511" w:rsidR="00AB7FD7" w:rsidRPr="00C76C47" w:rsidRDefault="00AB7FD7" w:rsidP="00C76C47">
      <w:pPr>
        <w:rPr>
          <w:rFonts w:ascii="Avenir Next" w:hAnsi="Avenir Next"/>
          <w:sz w:val="20"/>
          <w:szCs w:val="20"/>
        </w:rPr>
      </w:pPr>
    </w:p>
    <w:sectPr w:rsidR="00AB7FD7" w:rsidRPr="00C76C4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371B" w14:textId="77777777" w:rsidR="002B308A" w:rsidRDefault="002B308A" w:rsidP="008C31AA">
      <w:r>
        <w:separator/>
      </w:r>
    </w:p>
  </w:endnote>
  <w:endnote w:type="continuationSeparator" w:id="0">
    <w:p w14:paraId="462942C6" w14:textId="77777777" w:rsidR="002B308A" w:rsidRDefault="002B308A" w:rsidP="008C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D3E2" w14:textId="77777777" w:rsidR="008C31AA" w:rsidRPr="00DE3EFF" w:rsidRDefault="008C31AA" w:rsidP="008C31AA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bookmarkStart w:id="1" w:name="_Hlk106810529"/>
    <w:bookmarkStart w:id="2" w:name="_Hlk106810530"/>
    <w:r w:rsidRPr="00DE3EFF">
      <w:rPr>
        <w:rFonts w:ascii="Avenir Next" w:hAnsi="Avenir Next"/>
        <w:b/>
        <w:sz w:val="18"/>
        <w:lang w:val="fr-CH"/>
      </w:rPr>
      <w:t>ZENITH</w:t>
    </w:r>
    <w:r w:rsidRPr="00DE3EFF">
      <w:rPr>
        <w:rFonts w:ascii="Avenir Next" w:hAnsi="Avenir Next"/>
        <w:sz w:val="18"/>
        <w:lang w:val="fr-CH"/>
      </w:rPr>
      <w:t xml:space="preserve"> | www.ZENITH-watches.com | Rue des </w:t>
    </w:r>
    <w:proofErr w:type="spellStart"/>
    <w:r w:rsidRPr="00DE3EFF">
      <w:rPr>
        <w:rFonts w:ascii="Avenir Next" w:hAnsi="Avenir Next"/>
        <w:sz w:val="18"/>
        <w:lang w:val="fr-CH"/>
      </w:rPr>
      <w:t>Billodes</w:t>
    </w:r>
    <w:proofErr w:type="spellEnd"/>
    <w:r w:rsidRPr="00DE3EFF">
      <w:rPr>
        <w:rFonts w:ascii="Avenir Next" w:hAnsi="Avenir Next"/>
        <w:sz w:val="18"/>
        <w:lang w:val="fr-CH"/>
      </w:rPr>
      <w:t xml:space="preserve"> 34-36 | CH-2400 Le Locle</w:t>
    </w:r>
  </w:p>
  <w:p w14:paraId="1C7979E3" w14:textId="779BB018" w:rsidR="008C31AA" w:rsidRPr="008C31AA" w:rsidRDefault="008C31AA" w:rsidP="008C31AA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>ZENITH International Media Relations - Indirizzo e-mail: press@zenith-watches.com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F41F" w14:textId="77777777" w:rsidR="002B308A" w:rsidRDefault="002B308A" w:rsidP="008C31AA">
      <w:r>
        <w:separator/>
      </w:r>
    </w:p>
  </w:footnote>
  <w:footnote w:type="continuationSeparator" w:id="0">
    <w:p w14:paraId="125A320E" w14:textId="77777777" w:rsidR="002B308A" w:rsidRDefault="002B308A" w:rsidP="008C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5A0A" w14:textId="65F3EA41" w:rsidR="008C31AA" w:rsidRDefault="008C31AA" w:rsidP="008C31AA">
    <w:pPr>
      <w:pStyle w:val="En-tte"/>
      <w:jc w:val="center"/>
    </w:pPr>
    <w:r>
      <w:rPr>
        <w:noProof/>
      </w:rPr>
      <w:drawing>
        <wp:inline distT="0" distB="0" distL="0" distR="0" wp14:anchorId="23C3EE71" wp14:editId="2E9F2EB5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6EAB22" w14:textId="77777777" w:rsidR="008C31AA" w:rsidRDefault="008C31AA" w:rsidP="008C31AA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4A"/>
    <w:rsid w:val="0000704D"/>
    <w:rsid w:val="000F1EBD"/>
    <w:rsid w:val="00143E12"/>
    <w:rsid w:val="001557E2"/>
    <w:rsid w:val="002A7F0F"/>
    <w:rsid w:val="002B308A"/>
    <w:rsid w:val="0039128E"/>
    <w:rsid w:val="005A099C"/>
    <w:rsid w:val="0060614A"/>
    <w:rsid w:val="00747814"/>
    <w:rsid w:val="007A1B56"/>
    <w:rsid w:val="008C31AA"/>
    <w:rsid w:val="00996BF5"/>
    <w:rsid w:val="009F2F9E"/>
    <w:rsid w:val="00A90F57"/>
    <w:rsid w:val="00AB7FD7"/>
    <w:rsid w:val="00AE1D25"/>
    <w:rsid w:val="00B053EB"/>
    <w:rsid w:val="00C227E7"/>
    <w:rsid w:val="00C76C47"/>
    <w:rsid w:val="00D310F0"/>
    <w:rsid w:val="00D63645"/>
    <w:rsid w:val="00DB7DF0"/>
    <w:rsid w:val="00DE3EFF"/>
    <w:rsid w:val="00EB731D"/>
    <w:rsid w:val="00F9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EB3DC"/>
  <w15:chartTrackingRefBased/>
  <w15:docId w15:val="{DA1C7B2A-7497-A64A-868F-01419806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90F57"/>
  </w:style>
  <w:style w:type="character" w:styleId="lev">
    <w:name w:val="Strong"/>
    <w:basedOn w:val="Policepardfaut"/>
    <w:uiPriority w:val="22"/>
    <w:qFormat/>
    <w:rsid w:val="00A90F57"/>
    <w:rPr>
      <w:b/>
      <w:bCs/>
    </w:rPr>
  </w:style>
  <w:style w:type="character" w:customStyle="1" w:styleId="il">
    <w:name w:val="il"/>
    <w:basedOn w:val="Policepardfaut"/>
    <w:rsid w:val="00A90F57"/>
  </w:style>
  <w:style w:type="paragraph" w:styleId="En-tte">
    <w:name w:val="header"/>
    <w:basedOn w:val="Normal"/>
    <w:link w:val="En-tteCar"/>
    <w:uiPriority w:val="99"/>
    <w:unhideWhenUsed/>
    <w:rsid w:val="008C3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1AA"/>
  </w:style>
  <w:style w:type="paragraph" w:styleId="Pieddepage">
    <w:name w:val="footer"/>
    <w:basedOn w:val="Normal"/>
    <w:link w:val="PieddepageCar"/>
    <w:uiPriority w:val="99"/>
    <w:unhideWhenUsed/>
    <w:rsid w:val="008C3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10</cp:revision>
  <cp:lastPrinted>2023-02-03T12:57:00Z</cp:lastPrinted>
  <dcterms:created xsi:type="dcterms:W3CDTF">2023-01-26T13:45:00Z</dcterms:created>
  <dcterms:modified xsi:type="dcterms:W3CDTF">2023-02-03T12:57:00Z</dcterms:modified>
</cp:coreProperties>
</file>